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6C40D323" w:rsidR="00DB19FC" w:rsidRPr="00DB295A" w:rsidRDefault="00861302" w:rsidP="00DB19FC">
      <w:pPr>
        <w:rPr>
          <w:rFonts w:ascii="Calibri" w:hAnsi="Calibri" w:cs="Calibri"/>
          <w:b/>
          <w:bCs/>
        </w:rPr>
      </w:pPr>
      <w:r>
        <w:rPr>
          <w:rFonts w:ascii="Calibri" w:hAnsi="Calibri" w:cs="Calibri"/>
          <w:b/>
          <w:bCs/>
        </w:rPr>
        <w:t>10</w:t>
      </w:r>
      <w:r w:rsidR="00BE4953" w:rsidRPr="00DB295A">
        <w:rPr>
          <w:rFonts w:ascii="Calibri" w:hAnsi="Calibri" w:cs="Calibri"/>
          <w:b/>
          <w:bCs/>
        </w:rPr>
        <w:t>.0</w:t>
      </w:r>
      <w:r w:rsidR="00DB295A" w:rsidRPr="00DB295A">
        <w:rPr>
          <w:rFonts w:ascii="Calibri" w:hAnsi="Calibri" w:cs="Calibri"/>
          <w:b/>
          <w:bCs/>
        </w:rPr>
        <w:t>2</w:t>
      </w:r>
      <w:r w:rsidR="00BE4953" w:rsidRPr="00DB295A">
        <w:rPr>
          <w:rFonts w:ascii="Calibri" w:hAnsi="Calibri" w:cs="Calibri"/>
          <w:b/>
          <w:bCs/>
        </w:rPr>
        <w:t>.2026</w:t>
      </w:r>
    </w:p>
    <w:p w14:paraId="49C57E47" w14:textId="77777777" w:rsidR="0097747B" w:rsidRPr="00DB295A" w:rsidRDefault="0097747B" w:rsidP="00FB16C8">
      <w:pPr>
        <w:rPr>
          <w:rFonts w:ascii="Calibri" w:hAnsi="Calibri" w:cs="Calibri"/>
        </w:rPr>
      </w:pPr>
      <w:r w:rsidRPr="00DB295A">
        <w:rPr>
          <w:rFonts w:ascii="Calibri" w:hAnsi="Calibri" w:cs="Calibri"/>
          <w:b/>
          <w:bCs/>
        </w:rPr>
        <w:t>E-pasta nosaukums</w:t>
      </w:r>
      <w:r w:rsidRPr="00DB295A">
        <w:rPr>
          <w:rFonts w:ascii="Calibri" w:hAnsi="Calibri" w:cs="Calibri"/>
        </w:rPr>
        <w:t xml:space="preserve"> </w:t>
      </w:r>
    </w:p>
    <w:p w14:paraId="6EBA95F7" w14:textId="77777777" w:rsidR="00192A4D" w:rsidRDefault="00192A4D" w:rsidP="00F97A82">
      <w:pPr>
        <w:rPr>
          <w:rFonts w:ascii="Calibri" w:hAnsi="Calibri" w:cs="Calibri"/>
        </w:rPr>
      </w:pPr>
      <w:r w:rsidRPr="00192A4D">
        <w:rPr>
          <w:rFonts w:ascii="Calibri" w:hAnsi="Calibri" w:cs="Calibri"/>
        </w:rPr>
        <w:t xml:space="preserve">Par jaundzimušo </w:t>
      </w:r>
      <w:proofErr w:type="spellStart"/>
      <w:r w:rsidRPr="00192A4D">
        <w:rPr>
          <w:rFonts w:ascii="Calibri" w:hAnsi="Calibri" w:cs="Calibri"/>
        </w:rPr>
        <w:t>triāžas</w:t>
      </w:r>
      <w:proofErr w:type="spellEnd"/>
      <w:r w:rsidRPr="00192A4D">
        <w:rPr>
          <w:rFonts w:ascii="Calibri" w:hAnsi="Calibri" w:cs="Calibri"/>
        </w:rPr>
        <w:t xml:space="preserve"> rīku</w:t>
      </w:r>
    </w:p>
    <w:p w14:paraId="5A9F8A4D" w14:textId="1B823F14" w:rsidR="00F97A82" w:rsidRPr="00DB295A" w:rsidRDefault="00F97A82" w:rsidP="00F97A82">
      <w:pPr>
        <w:rPr>
          <w:rFonts w:ascii="Calibri" w:hAnsi="Calibri" w:cs="Calibri"/>
          <w:b/>
          <w:bCs/>
        </w:rPr>
      </w:pPr>
      <w:r w:rsidRPr="00DB295A">
        <w:rPr>
          <w:rFonts w:ascii="Calibri" w:hAnsi="Calibri" w:cs="Calibri"/>
          <w:b/>
          <w:bCs/>
        </w:rPr>
        <w:t>E-pasta teksts</w:t>
      </w:r>
    </w:p>
    <w:p w14:paraId="18D44AF7" w14:textId="77777777" w:rsidR="00861302" w:rsidRDefault="00861302" w:rsidP="00861302">
      <w:pPr>
        <w:pStyle w:val="elementtoproof"/>
        <w:rPr>
          <w:rFonts w:ascii="Calibri" w:hAnsi="Calibri" w:cs="Calibri"/>
          <w:sz w:val="22"/>
          <w:szCs w:val="22"/>
        </w:rPr>
      </w:pPr>
      <w:r>
        <w:rPr>
          <w:rFonts w:ascii="Calibri" w:hAnsi="Calibri" w:cs="Calibri"/>
          <w:color w:val="000000"/>
          <w:sz w:val="22"/>
          <w:szCs w:val="22"/>
        </w:rPr>
        <w:t>Labdien!</w:t>
      </w:r>
    </w:p>
    <w:p w14:paraId="234CB1C9" w14:textId="77777777" w:rsidR="00861302" w:rsidRDefault="00861302" w:rsidP="00861302">
      <w:pPr>
        <w:pStyle w:val="elementtoproof"/>
        <w:rPr>
          <w:rFonts w:ascii="Calibri" w:hAnsi="Calibri" w:cs="Calibri"/>
          <w:sz w:val="22"/>
          <w:szCs w:val="22"/>
        </w:rPr>
      </w:pPr>
      <w:r>
        <w:rPr>
          <w:rFonts w:ascii="Calibri" w:hAnsi="Calibri" w:cs="Calibri"/>
          <w:color w:val="000000"/>
          <w:sz w:val="22"/>
          <w:szCs w:val="22"/>
        </w:rPr>
        <w:t> </w:t>
      </w:r>
    </w:p>
    <w:p w14:paraId="5D4C2425" w14:textId="77777777" w:rsidR="00192A4D" w:rsidRDefault="00192A4D" w:rsidP="00192A4D">
      <w:pPr>
        <w:pStyle w:val="elementtoproof"/>
        <w:shd w:val="clear" w:color="auto" w:fill="FFFFFF"/>
        <w:rPr>
          <w:rFonts w:ascii="Calibri" w:hAnsi="Calibri" w:cs="Calibri"/>
          <w:color w:val="000000"/>
          <w:sz w:val="22"/>
          <w:szCs w:val="22"/>
        </w:rPr>
      </w:pPr>
      <w:r>
        <w:rPr>
          <w:rFonts w:ascii="Calibri" w:hAnsi="Calibri" w:cs="Calibri"/>
          <w:color w:val="000000"/>
          <w:sz w:val="22"/>
          <w:szCs w:val="22"/>
        </w:rPr>
        <w:t xml:space="preserve">Nacionālais veselības dienests (turpmāk – Dienests) </w:t>
      </w:r>
      <w:proofErr w:type="spellStart"/>
      <w:r>
        <w:rPr>
          <w:rFonts w:ascii="Calibri" w:hAnsi="Calibri" w:cs="Calibri"/>
          <w:color w:val="000000"/>
          <w:sz w:val="22"/>
          <w:szCs w:val="22"/>
        </w:rPr>
        <w:t>pārsūta</w:t>
      </w:r>
      <w:proofErr w:type="spellEnd"/>
      <w:r>
        <w:rPr>
          <w:rFonts w:ascii="Calibri" w:hAnsi="Calibri" w:cs="Calibri"/>
          <w:color w:val="000000"/>
          <w:sz w:val="22"/>
          <w:szCs w:val="22"/>
        </w:rPr>
        <w:t xml:space="preserve"> no VSIA “Bērnu klīniskā universitātes slimnīca” (turpmāk – BKUS) saņemto jaundzimušo </w:t>
      </w:r>
      <w:proofErr w:type="spellStart"/>
      <w:r>
        <w:rPr>
          <w:rFonts w:ascii="Calibri" w:hAnsi="Calibri" w:cs="Calibri"/>
          <w:color w:val="000000"/>
          <w:sz w:val="22"/>
          <w:szCs w:val="22"/>
        </w:rPr>
        <w:t>triāžas</w:t>
      </w:r>
      <w:proofErr w:type="spellEnd"/>
      <w:r>
        <w:rPr>
          <w:rFonts w:ascii="Calibri" w:hAnsi="Calibri" w:cs="Calibri"/>
          <w:color w:val="000000"/>
          <w:sz w:val="22"/>
          <w:szCs w:val="22"/>
        </w:rPr>
        <w:t xml:space="preserve"> rīku.</w:t>
      </w:r>
    </w:p>
    <w:p w14:paraId="18D416FA" w14:textId="77777777" w:rsidR="00192A4D" w:rsidRDefault="00192A4D" w:rsidP="00192A4D">
      <w:pPr>
        <w:pStyle w:val="elementtoproof"/>
        <w:shd w:val="clear" w:color="auto" w:fill="FFFFFF"/>
      </w:pPr>
    </w:p>
    <w:p w14:paraId="4D1379A8" w14:textId="77777777" w:rsidR="00192A4D" w:rsidRDefault="00192A4D" w:rsidP="00192A4D">
      <w:pPr>
        <w:pStyle w:val="elementtoproof"/>
        <w:shd w:val="clear" w:color="auto" w:fill="FFFFFF"/>
        <w:rPr>
          <w:rFonts w:ascii="Calibri" w:hAnsi="Calibri" w:cs="Calibri"/>
          <w:color w:val="000000"/>
          <w:sz w:val="22"/>
          <w:szCs w:val="22"/>
        </w:rPr>
      </w:pPr>
      <w:r>
        <w:rPr>
          <w:rFonts w:ascii="Calibri" w:hAnsi="Calibri" w:cs="Calibri"/>
          <w:color w:val="000000"/>
          <w:sz w:val="22"/>
          <w:szCs w:val="22"/>
        </w:rPr>
        <w:t xml:space="preserve">BKUS Metodiskās vadības centrs, īstenojot normatīvajos aktos noteiktās funkcijas ārstniecības procesu kvalitātes un pacientu drošības jomā, 2025. gadā ir izstrādājis jaundzimušo </w:t>
      </w:r>
      <w:proofErr w:type="spellStart"/>
      <w:r>
        <w:rPr>
          <w:rFonts w:ascii="Calibri" w:hAnsi="Calibri" w:cs="Calibri"/>
          <w:color w:val="000000"/>
          <w:sz w:val="22"/>
          <w:szCs w:val="22"/>
        </w:rPr>
        <w:t>triāžas</w:t>
      </w:r>
      <w:proofErr w:type="spellEnd"/>
      <w:r>
        <w:rPr>
          <w:rFonts w:ascii="Calibri" w:hAnsi="Calibri" w:cs="Calibri"/>
          <w:color w:val="000000"/>
          <w:sz w:val="22"/>
          <w:szCs w:val="22"/>
        </w:rPr>
        <w:t xml:space="preserve"> rīku, kura mērķis ir savlaicīgi identificēt kritiski slimos jaundzimušos vai jaundzimušos ar augstu veselības stāvokļa pasliktināšanās risku, kā arī nodrošināt savlaicīgu un atbilstošu medicīnisko palīdzību, tostarp nepieciešamības gadījumā pārvešanu uz augstāka līmeņa ārstniecības iestādi.</w:t>
      </w:r>
    </w:p>
    <w:p w14:paraId="4076A2CD" w14:textId="77777777" w:rsidR="00192A4D" w:rsidRDefault="00192A4D" w:rsidP="00192A4D">
      <w:pPr>
        <w:pStyle w:val="elementtoproof"/>
        <w:shd w:val="clear" w:color="auto" w:fill="FFFFFF"/>
      </w:pPr>
    </w:p>
    <w:p w14:paraId="7F2EF02E" w14:textId="77777777" w:rsidR="00192A4D" w:rsidRDefault="00192A4D" w:rsidP="00192A4D">
      <w:pPr>
        <w:pStyle w:val="elementtoproof"/>
        <w:shd w:val="clear" w:color="auto" w:fill="FFFFFF"/>
        <w:rPr>
          <w:rFonts w:ascii="Calibri" w:hAnsi="Calibri" w:cs="Calibri"/>
          <w:color w:val="000000"/>
          <w:sz w:val="22"/>
          <w:szCs w:val="22"/>
        </w:rPr>
      </w:pPr>
      <w:r>
        <w:rPr>
          <w:rFonts w:ascii="Calibri" w:hAnsi="Calibri" w:cs="Calibri"/>
          <w:color w:val="000000"/>
          <w:sz w:val="22"/>
          <w:szCs w:val="22"/>
        </w:rPr>
        <w:t xml:space="preserve">Minētais </w:t>
      </w:r>
      <w:proofErr w:type="spellStart"/>
      <w:r>
        <w:rPr>
          <w:rFonts w:ascii="Calibri" w:hAnsi="Calibri" w:cs="Calibri"/>
          <w:color w:val="000000"/>
          <w:sz w:val="22"/>
          <w:szCs w:val="22"/>
        </w:rPr>
        <w:t>triāžas</w:t>
      </w:r>
      <w:proofErr w:type="spellEnd"/>
      <w:r>
        <w:rPr>
          <w:rFonts w:ascii="Calibri" w:hAnsi="Calibri" w:cs="Calibri"/>
          <w:color w:val="000000"/>
          <w:sz w:val="22"/>
          <w:szCs w:val="22"/>
        </w:rPr>
        <w:t xml:space="preserve"> rīks ir saskaņots ar Latvijas </w:t>
      </w:r>
      <w:proofErr w:type="spellStart"/>
      <w:r>
        <w:rPr>
          <w:rFonts w:ascii="Calibri" w:hAnsi="Calibri" w:cs="Calibri"/>
          <w:color w:val="000000"/>
          <w:sz w:val="22"/>
          <w:szCs w:val="22"/>
        </w:rPr>
        <w:t>Neonatologu</w:t>
      </w:r>
      <w:proofErr w:type="spellEnd"/>
      <w:r>
        <w:rPr>
          <w:rFonts w:ascii="Calibri" w:hAnsi="Calibri" w:cs="Calibri"/>
          <w:color w:val="000000"/>
          <w:sz w:val="22"/>
          <w:szCs w:val="22"/>
        </w:rPr>
        <w:t xml:space="preserve"> biedrību un Latvijas Pediatru asociāciju, kā arī praktiski ieviests, organizējot mērķtiecīgas apmācības ārstniecības personām. BKUS veiktās reģionālās vizītes un pacientu drošības gadījumu analīze apliecina vienotas pieejas nozīmi jaundzimušo veselības stāvokļa savlaicīgai izvērtēšanai dažādās ārstniecības iestādēs.</w:t>
      </w:r>
    </w:p>
    <w:p w14:paraId="01D0F0D1" w14:textId="77777777" w:rsidR="00192A4D" w:rsidRDefault="00192A4D" w:rsidP="00192A4D">
      <w:pPr>
        <w:pStyle w:val="elementtoproof"/>
        <w:shd w:val="clear" w:color="auto" w:fill="FFFFFF"/>
      </w:pPr>
    </w:p>
    <w:p w14:paraId="46C0FFDC" w14:textId="77777777" w:rsidR="00192A4D" w:rsidRDefault="00192A4D" w:rsidP="00192A4D">
      <w:pPr>
        <w:pStyle w:val="elementtoproof"/>
        <w:shd w:val="clear" w:color="auto" w:fill="FFFFFF"/>
      </w:pPr>
      <w:r>
        <w:rPr>
          <w:rFonts w:ascii="Calibri" w:hAnsi="Calibri" w:cs="Calibri"/>
          <w:color w:val="000000"/>
          <w:sz w:val="22"/>
          <w:szCs w:val="22"/>
        </w:rPr>
        <w:t xml:space="preserve">Jaundzimušo </w:t>
      </w:r>
      <w:proofErr w:type="spellStart"/>
      <w:r>
        <w:rPr>
          <w:rFonts w:ascii="Calibri" w:hAnsi="Calibri" w:cs="Calibri"/>
          <w:color w:val="000000"/>
          <w:sz w:val="22"/>
          <w:szCs w:val="22"/>
        </w:rPr>
        <w:t>triāžas</w:t>
      </w:r>
      <w:proofErr w:type="spellEnd"/>
      <w:r>
        <w:rPr>
          <w:rFonts w:ascii="Calibri" w:hAnsi="Calibri" w:cs="Calibri"/>
          <w:color w:val="000000"/>
          <w:sz w:val="22"/>
          <w:szCs w:val="22"/>
        </w:rPr>
        <w:t xml:space="preserve"> skatīt e-pasta vēstulei pievienotajā dokumentā.</w:t>
      </w:r>
    </w:p>
    <w:p w14:paraId="13B67BAA" w14:textId="1B55A0C8" w:rsidR="00861302" w:rsidRDefault="003626D8" w:rsidP="00861302">
      <w:pPr>
        <w:pStyle w:val="elementtoproof"/>
        <w:rPr>
          <w:rFonts w:ascii="Calibri" w:hAnsi="Calibri" w:cs="Calibri"/>
          <w:sz w:val="22"/>
          <w:szCs w:val="22"/>
        </w:rPr>
      </w:pPr>
      <w:r>
        <w:rPr>
          <w:rFonts w:ascii="Calibri" w:hAnsi="Calibri" w:cs="Calibri"/>
          <w:sz w:val="22"/>
          <w:szCs w:val="22"/>
        </w:rPr>
        <w:object w:dxaOrig="1540" w:dyaOrig="997" w14:anchorId="374A8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7.25pt;height:49.5pt" o:ole="">
            <v:imagedata r:id="rId5" o:title=""/>
          </v:shape>
          <o:OLEObject Type="Embed" ProgID="AcroExch.Document.DC" ShapeID="_x0000_i1031" DrawAspect="Icon" ObjectID="_1832246513" r:id="rId6"/>
        </w:object>
      </w:r>
      <w:r>
        <w:rPr>
          <w:rFonts w:ascii="Calibri" w:hAnsi="Calibri" w:cs="Calibri"/>
          <w:sz w:val="22"/>
          <w:szCs w:val="22"/>
        </w:rPr>
        <w:object w:dxaOrig="1540" w:dyaOrig="997" w14:anchorId="646A5AF9">
          <v:shape id="_x0000_i1032" type="#_x0000_t75" style="width:77.25pt;height:49.5pt" o:ole="">
            <v:imagedata r:id="rId7" o:title=""/>
          </v:shape>
          <o:OLEObject Type="Embed" ProgID="AcroExch.Document.DC" ShapeID="_x0000_i1032" DrawAspect="Icon" ObjectID="_1832246514" r:id="rId8"/>
        </w:object>
      </w:r>
      <w:r>
        <w:rPr>
          <w:rFonts w:ascii="Calibri" w:hAnsi="Calibri" w:cs="Calibri"/>
          <w:sz w:val="22"/>
          <w:szCs w:val="22"/>
        </w:rPr>
        <w:object w:dxaOrig="1540" w:dyaOrig="997" w14:anchorId="3F05D067">
          <v:shape id="_x0000_i1033" type="#_x0000_t75" style="width:77.25pt;height:49.5pt" o:ole="">
            <v:imagedata r:id="rId9" o:title=""/>
          </v:shape>
          <o:OLEObject Type="Embed" ProgID="AcroExch.Document.DC" ShapeID="_x0000_i1033" DrawAspect="Icon" ObjectID="_1832246515" r:id="rId10"/>
        </w:object>
      </w:r>
    </w:p>
    <w:p w14:paraId="16A89007" w14:textId="2AB1DE7A" w:rsidR="00DB295A" w:rsidRPr="00DB295A" w:rsidRDefault="00C036D7" w:rsidP="00C036D7">
      <w:pPr>
        <w:jc w:val="both"/>
        <w:rPr>
          <w:rFonts w:ascii="Calibri" w:hAnsi="Calibri" w:cs="Calibri"/>
        </w:rPr>
      </w:pPr>
      <w:r w:rsidRPr="00DB295A">
        <w:rPr>
          <w:rFonts w:ascii="Calibri" w:hAnsi="Calibri" w:cs="Calibri"/>
        </w:rPr>
        <w:t>Ar cieņu</w:t>
      </w:r>
    </w:p>
    <w:p w14:paraId="2E2158C7" w14:textId="1E46A159" w:rsidR="00C036D7" w:rsidRPr="00DB295A" w:rsidRDefault="00C036D7" w:rsidP="00C036D7">
      <w:pPr>
        <w:jc w:val="both"/>
        <w:rPr>
          <w:rFonts w:ascii="Calibri" w:hAnsi="Calibri" w:cs="Calibri"/>
        </w:rPr>
      </w:pPr>
      <w:r w:rsidRPr="00DB295A">
        <w:rPr>
          <w:rFonts w:ascii="Calibri" w:hAnsi="Calibri" w:cs="Calibri"/>
        </w:rPr>
        <w:t>Nacionālais veselības dienests</w:t>
      </w:r>
    </w:p>
    <w:p w14:paraId="360CB577" w14:textId="77777777" w:rsidR="006B3BC5" w:rsidRPr="009D618C" w:rsidRDefault="006B3BC5" w:rsidP="00F97A82">
      <w:pPr>
        <w:rPr>
          <w:rFonts w:ascii="Calibri" w:hAnsi="Calibri" w:cs="Calibri"/>
          <w:b/>
          <w:bCs/>
        </w:rPr>
      </w:pPr>
    </w:p>
    <w:sectPr w:rsidR="006B3BC5" w:rsidRPr="009D6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3"/>
  </w:num>
  <w:num w:numId="2" w16cid:durableId="1685589679">
    <w:abstractNumId w:val="0"/>
  </w:num>
  <w:num w:numId="3" w16cid:durableId="429666376">
    <w:abstractNumId w:val="1"/>
  </w:num>
  <w:num w:numId="4" w16cid:durableId="226380773">
    <w:abstractNumId w:val="2"/>
  </w:num>
  <w:num w:numId="5" w16cid:durableId="188951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56849"/>
    <w:rsid w:val="000E36E8"/>
    <w:rsid w:val="000F5169"/>
    <w:rsid w:val="00110FF1"/>
    <w:rsid w:val="00136B2D"/>
    <w:rsid w:val="001708DA"/>
    <w:rsid w:val="00174EDB"/>
    <w:rsid w:val="0017523E"/>
    <w:rsid w:val="00192A4D"/>
    <w:rsid w:val="001C0CFA"/>
    <w:rsid w:val="002076D5"/>
    <w:rsid w:val="00213A90"/>
    <w:rsid w:val="002A4319"/>
    <w:rsid w:val="002A6C09"/>
    <w:rsid w:val="002B307D"/>
    <w:rsid w:val="002C2072"/>
    <w:rsid w:val="00315C16"/>
    <w:rsid w:val="00335A97"/>
    <w:rsid w:val="00355B0A"/>
    <w:rsid w:val="00360C13"/>
    <w:rsid w:val="003626D8"/>
    <w:rsid w:val="00380B19"/>
    <w:rsid w:val="00380EC9"/>
    <w:rsid w:val="003B3773"/>
    <w:rsid w:val="0040337D"/>
    <w:rsid w:val="00461ABC"/>
    <w:rsid w:val="004964D8"/>
    <w:rsid w:val="004C0EC3"/>
    <w:rsid w:val="004C2B7C"/>
    <w:rsid w:val="004F7A6A"/>
    <w:rsid w:val="005056C8"/>
    <w:rsid w:val="00517376"/>
    <w:rsid w:val="005925F6"/>
    <w:rsid w:val="005B6751"/>
    <w:rsid w:val="005F20E5"/>
    <w:rsid w:val="006B3BC5"/>
    <w:rsid w:val="007314AA"/>
    <w:rsid w:val="00751322"/>
    <w:rsid w:val="007A0FFA"/>
    <w:rsid w:val="008274A2"/>
    <w:rsid w:val="00846D95"/>
    <w:rsid w:val="00847171"/>
    <w:rsid w:val="00861302"/>
    <w:rsid w:val="009152D0"/>
    <w:rsid w:val="009624AE"/>
    <w:rsid w:val="0097747B"/>
    <w:rsid w:val="009D618C"/>
    <w:rsid w:val="00A70919"/>
    <w:rsid w:val="00A712D2"/>
    <w:rsid w:val="00B065BF"/>
    <w:rsid w:val="00B35FA4"/>
    <w:rsid w:val="00B94B12"/>
    <w:rsid w:val="00BE4953"/>
    <w:rsid w:val="00C036D7"/>
    <w:rsid w:val="00C04DD2"/>
    <w:rsid w:val="00C10DFB"/>
    <w:rsid w:val="00C56C93"/>
    <w:rsid w:val="00C72897"/>
    <w:rsid w:val="00D05A9B"/>
    <w:rsid w:val="00D461B3"/>
    <w:rsid w:val="00D95CD7"/>
    <w:rsid w:val="00DB19FC"/>
    <w:rsid w:val="00DB295A"/>
    <w:rsid w:val="00E20AFC"/>
    <w:rsid w:val="00E762C8"/>
    <w:rsid w:val="00F008CB"/>
    <w:rsid w:val="00F01420"/>
    <w:rsid w:val="00F048AD"/>
    <w:rsid w:val="00F2489D"/>
    <w:rsid w:val="00F460DD"/>
    <w:rsid w:val="00F60303"/>
    <w:rsid w:val="00F65C6D"/>
    <w:rsid w:val="00F97A82"/>
    <w:rsid w:val="00FB16C8"/>
    <w:rsid w:val="00FE2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835</Words>
  <Characters>476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4</cp:revision>
  <dcterms:created xsi:type="dcterms:W3CDTF">2026-02-10T14:32:00Z</dcterms:created>
  <dcterms:modified xsi:type="dcterms:W3CDTF">2026-02-10T14:35:00Z</dcterms:modified>
</cp:coreProperties>
</file>