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A24A6B" w:rsidRPr="00D5053F" w:rsidP="003E7BBE" w14:paraId="744A97EF" w14:textId="77777777">
      <w:pPr>
        <w:spacing w:before="360"/>
        <w:jc w:val="center"/>
        <w:rPr>
          <w:sz w:val="17"/>
          <w:szCs w:val="17"/>
        </w:rPr>
      </w:pPr>
      <w:r>
        <w:rPr>
          <w:noProof/>
          <w:lang w:eastAsia="lv-LV"/>
        </w:rPr>
        <w:drawing>
          <wp:anchor distT="0" distB="0" distL="114300" distR="114300" simplePos="0" relativeHeight="251660288" behindDoc="1" locked="0" layoutInCell="1" allowOverlap="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P="00E46A48" w14:paraId="6CB3AD86" w14:textId="77777777">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tblPr>
      <w:tblGrid>
        <w:gridCol w:w="5433"/>
        <w:gridCol w:w="3638"/>
      </w:tblGrid>
      <w:tr w14:paraId="01FA7614" w14:textId="77777777" w:rsidTr="00C5711F">
        <w:tblPrEx>
          <w:tblW w:w="0" w:type="auto"/>
          <w:tblLook w:val="04A0"/>
        </w:tblPrEx>
        <w:trPr>
          <w:trHeight w:val="313"/>
        </w:trPr>
        <w:tc>
          <w:tcPr>
            <w:tcW w:w="5495" w:type="dxa"/>
          </w:tcPr>
          <w:p w:rsidR="00222B8B" w:rsidP="00222B8B" w14:paraId="4414D7B4" w14:textId="7CAB3D38">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1-8.2/2026/340</w:t>
            </w:r>
          </w:p>
          <w:p w:rsidR="002079F2" w:rsidRPr="00CB2202" w:rsidP="00222B8B" w14:paraId="6EA3EF20" w14:textId="3992DE46">
            <w:pPr>
              <w:tabs>
                <w:tab w:val="left" w:pos="0"/>
                <w:tab w:val="left" w:pos="7371"/>
              </w:tabs>
              <w:rPr>
                <w:sz w:val="24"/>
                <w:szCs w:val="24"/>
              </w:rPr>
            </w:pPr>
          </w:p>
        </w:tc>
        <w:tc>
          <w:tcPr>
            <w:tcW w:w="3685" w:type="dxa"/>
          </w:tcPr>
          <w:p w:rsidR="00340918" w:rsidRPr="008B6742" w:rsidP="00340918" w14:paraId="357F4123" w14:textId="77777777">
            <w:pPr>
              <w:tabs>
                <w:tab w:val="left" w:pos="0"/>
                <w:tab w:val="left" w:pos="7371"/>
              </w:tabs>
              <w:rPr>
                <w:sz w:val="24"/>
                <w:szCs w:val="24"/>
              </w:rPr>
            </w:pPr>
            <w:r w:rsidRPr="008B6742">
              <w:rPr>
                <w:sz w:val="24"/>
                <w:szCs w:val="24"/>
              </w:rPr>
              <w:t>Ārstu profesionālām asociācijām</w:t>
            </w:r>
          </w:p>
          <w:p w:rsidR="00340918" w:rsidP="00340918" w14:paraId="6DF2AB36" w14:textId="77777777">
            <w:pPr>
              <w:tabs>
                <w:tab w:val="left" w:pos="0"/>
                <w:tab w:val="left" w:pos="7371"/>
              </w:tabs>
              <w:rPr>
                <w:sz w:val="24"/>
                <w:szCs w:val="24"/>
              </w:rPr>
            </w:pPr>
            <w:r>
              <w:rPr>
                <w:sz w:val="24"/>
                <w:szCs w:val="24"/>
              </w:rPr>
              <w:t>Stacionārām ārstniecības iestādēm</w:t>
            </w:r>
          </w:p>
          <w:p w:rsidR="00340918" w:rsidP="00340918" w14:paraId="119F2C1C" w14:textId="77777777">
            <w:pPr>
              <w:tabs>
                <w:tab w:val="left" w:pos="0"/>
                <w:tab w:val="left" w:pos="7371"/>
              </w:tabs>
              <w:rPr>
                <w:sz w:val="24"/>
                <w:szCs w:val="24"/>
              </w:rPr>
            </w:pPr>
            <w:r>
              <w:rPr>
                <w:sz w:val="24"/>
                <w:szCs w:val="24"/>
              </w:rPr>
              <w:t>(Pēc pievienotā saraksta)</w:t>
            </w:r>
          </w:p>
          <w:p w:rsidR="00340918" w:rsidP="00340918" w14:paraId="226BDA75" w14:textId="77777777">
            <w:pPr>
              <w:tabs>
                <w:tab w:val="left" w:pos="0"/>
                <w:tab w:val="left" w:pos="7371"/>
              </w:tabs>
              <w:rPr>
                <w:noProof/>
                <w:sz w:val="24"/>
                <w:szCs w:val="24"/>
              </w:rPr>
            </w:pPr>
          </w:p>
          <w:p w:rsidR="00340918" w:rsidP="00340918" w14:paraId="1EA87B65" w14:textId="77777777">
            <w:pPr>
              <w:tabs>
                <w:tab w:val="left" w:pos="0"/>
                <w:tab w:val="left" w:pos="7371"/>
              </w:tabs>
              <w:rPr>
                <w:noProof/>
                <w:sz w:val="24"/>
                <w:szCs w:val="24"/>
              </w:rPr>
            </w:pPr>
            <w:r w:rsidRPr="002E71D8">
              <w:rPr>
                <w:i/>
                <w:iCs/>
                <w:sz w:val="24"/>
                <w:szCs w:val="24"/>
              </w:rPr>
              <w:t>Zināšanai</w:t>
            </w:r>
          </w:p>
          <w:p w:rsidR="00340918" w:rsidP="00340918" w14:paraId="409290B5" w14:textId="77777777">
            <w:pPr>
              <w:tabs>
                <w:tab w:val="left" w:pos="0"/>
                <w:tab w:val="left" w:pos="7371"/>
              </w:tabs>
              <w:rPr>
                <w:noProof/>
                <w:sz w:val="24"/>
                <w:szCs w:val="24"/>
              </w:rPr>
            </w:pPr>
            <w:r>
              <w:rPr>
                <w:noProof/>
                <w:sz w:val="24"/>
                <w:szCs w:val="24"/>
              </w:rPr>
              <w:t>Latvijas Republikas Veselības ministrija</w:t>
            </w:r>
          </w:p>
          <w:p w:rsidR="002079F2" w:rsidP="00340918" w14:paraId="57B97CED" w14:textId="1A15A030">
            <w:pPr>
              <w:tabs>
                <w:tab w:val="left" w:pos="0"/>
                <w:tab w:val="left" w:pos="7371"/>
              </w:tabs>
              <w:rPr>
                <w:sz w:val="24"/>
                <w:szCs w:val="24"/>
              </w:rPr>
            </w:pPr>
            <w:r>
              <w:rPr>
                <w:noProof/>
                <w:sz w:val="24"/>
                <w:szCs w:val="24"/>
              </w:rPr>
              <w:t>Nacionālais veselības dienests, Veselības inspekcija</w:t>
            </w:r>
          </w:p>
        </w:tc>
      </w:tr>
    </w:tbl>
    <w:p w:rsidR="002079F2" w:rsidRPr="00195A3A" w:rsidP="002079F2" w14:paraId="009098EA" w14:textId="77777777">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ziņošanu par nāves gadījumiem pacientiem ar gripas infekciju</w:t>
      </w:r>
    </w:p>
    <w:p w:rsidR="007E1C16" w:rsidP="00340918" w14:paraId="38BEA5EE" w14:textId="77777777">
      <w:pPr>
        <w:tabs>
          <w:tab w:val="left" w:pos="1134"/>
        </w:tabs>
        <w:ind w:firstLine="720"/>
        <w:jc w:val="both"/>
        <w:rPr>
          <w:sz w:val="24"/>
          <w:szCs w:val="24"/>
          <w:lang w:eastAsia="lv-LV"/>
        </w:rPr>
      </w:pPr>
      <w:r w:rsidRPr="53CAE176">
        <w:rPr>
          <w:sz w:val="24"/>
          <w:szCs w:val="24"/>
          <w:lang w:eastAsia="lv-LV"/>
        </w:rPr>
        <w:t>Slimību profilakses un kontroles centra (</w:t>
      </w:r>
      <w:r w:rsidRPr="009351A0">
        <w:rPr>
          <w:sz w:val="24"/>
          <w:szCs w:val="24"/>
          <w:lang w:eastAsia="lv-LV"/>
        </w:rPr>
        <w:t xml:space="preserve">turpmāk – Centrs) </w:t>
      </w:r>
      <w:r w:rsidRPr="009351A0">
        <w:rPr>
          <w:sz w:val="24"/>
          <w:szCs w:val="24"/>
          <w:lang w:eastAsia="lv-LV"/>
        </w:rPr>
        <w:t>respiratoro</w:t>
      </w:r>
      <w:r w:rsidRPr="009351A0">
        <w:rPr>
          <w:sz w:val="24"/>
          <w:szCs w:val="24"/>
          <w:lang w:eastAsia="lv-LV"/>
        </w:rPr>
        <w:t xml:space="preserve"> infekciju monitoringa dati liecina, ka gripas izplatība Latvijā</w:t>
      </w:r>
      <w:r w:rsidRPr="53CAE176">
        <w:rPr>
          <w:sz w:val="24"/>
          <w:szCs w:val="24"/>
          <w:lang w:eastAsia="lv-LV"/>
        </w:rPr>
        <w:t xml:space="preserve"> joprojām ir plaša un saglabājas virs epidēmiskā sliekšņa līmeņa. 2026. gada 6. nedēļā (02.02.–08.02.) laboratoriski apstiprināto gripas paraugu īpatsvars sasniedz 15</w:t>
      </w:r>
      <w:r>
        <w:rPr>
          <w:sz w:val="24"/>
          <w:szCs w:val="24"/>
          <w:lang w:eastAsia="lv-LV"/>
        </w:rPr>
        <w:t>%</w:t>
      </w:r>
      <w:r w:rsidRPr="006355A1">
        <w:rPr>
          <w:sz w:val="24"/>
          <w:szCs w:val="24"/>
          <w:lang w:eastAsia="lv-LV"/>
        </w:rPr>
        <w:t xml:space="preserve">. Novērots </w:t>
      </w:r>
      <w:r w:rsidRPr="006355A1">
        <w:rPr>
          <w:sz w:val="24"/>
          <w:szCs w:val="24"/>
          <w:lang w:eastAsia="lv-LV"/>
        </w:rPr>
        <w:t>stacionēto</w:t>
      </w:r>
      <w:r w:rsidRPr="006355A1">
        <w:rPr>
          <w:sz w:val="24"/>
          <w:szCs w:val="24"/>
          <w:lang w:eastAsia="lv-LV"/>
        </w:rPr>
        <w:t xml:space="preserve"> gripas pacientu skaita pieaugums. </w:t>
      </w:r>
    </w:p>
    <w:p w:rsidR="00340918" w:rsidP="00340918" w14:paraId="798B26E5" w14:textId="394F7816">
      <w:pPr>
        <w:tabs>
          <w:tab w:val="left" w:pos="1134"/>
        </w:tabs>
        <w:ind w:firstLine="720"/>
        <w:jc w:val="both"/>
        <w:rPr>
          <w:color w:val="FF0000"/>
          <w:sz w:val="24"/>
          <w:szCs w:val="24"/>
          <w:lang w:eastAsia="lv-LV"/>
        </w:rPr>
      </w:pPr>
      <w:r w:rsidRPr="006355A1">
        <w:rPr>
          <w:sz w:val="24"/>
          <w:szCs w:val="24"/>
          <w:lang w:eastAsia="lv-LV"/>
        </w:rPr>
        <w:t xml:space="preserve">Vēlamies atgādināt, ka </w:t>
      </w:r>
      <w:r w:rsidRPr="007E1C16">
        <w:rPr>
          <w:b/>
          <w:bCs/>
          <w:sz w:val="24"/>
          <w:szCs w:val="24"/>
          <w:lang w:eastAsia="lv-LV"/>
        </w:rPr>
        <w:t>gripas pacientu nāves gadījumi ir pakļauti obligātajai ziņošanai Centram</w:t>
      </w:r>
      <w:r>
        <w:rPr>
          <w:rStyle w:val="FootnoteReference"/>
          <w:sz w:val="24"/>
          <w:szCs w:val="24"/>
          <w:lang w:eastAsia="lv-LV"/>
        </w:rPr>
        <w:footnoteReference w:id="2"/>
      </w:r>
      <w:r w:rsidRPr="006355A1">
        <w:rPr>
          <w:sz w:val="24"/>
          <w:szCs w:val="24"/>
          <w:lang w:eastAsia="lv-LV"/>
        </w:rPr>
        <w:t xml:space="preserve"> operatīvai situācijas izvērtēšanai.</w:t>
      </w:r>
    </w:p>
    <w:p w:rsidR="00340918" w:rsidRPr="00B27BB8" w:rsidP="00340918" w14:paraId="6A602589" w14:textId="77777777">
      <w:pPr>
        <w:tabs>
          <w:tab w:val="left" w:pos="1134"/>
        </w:tabs>
        <w:ind w:firstLine="720"/>
        <w:jc w:val="both"/>
        <w:rPr>
          <w:sz w:val="24"/>
          <w:szCs w:val="24"/>
          <w:lang w:eastAsia="lv-LV"/>
        </w:rPr>
      </w:pPr>
      <w:r w:rsidRPr="00B27BB8">
        <w:rPr>
          <w:sz w:val="24"/>
          <w:szCs w:val="24"/>
          <w:lang w:eastAsia="lv-LV"/>
        </w:rPr>
        <w:t>2024.–2025. gada monitoringa sezonā dati liecina, ka 41% (60</w:t>
      </w:r>
      <w:r>
        <w:rPr>
          <w:rStyle w:val="FootnoteReference"/>
          <w:sz w:val="24"/>
          <w:szCs w:val="24"/>
          <w:lang w:eastAsia="lv-LV"/>
        </w:rPr>
        <w:footnoteReference w:id="3"/>
      </w:r>
      <w:r w:rsidRPr="00B27BB8">
        <w:rPr>
          <w:sz w:val="24"/>
          <w:szCs w:val="24"/>
          <w:lang w:eastAsia="lv-LV"/>
        </w:rPr>
        <w:t xml:space="preserve"> no 146) nāves gadījumu pacientiem ar gripas infekciju nav bijuši paziņoti Centram, kā to nosaka normatīvais regulējums. Pašreizējā sezonā līdz 10. februārim Centrs ir saņēmis 14 paziņojumus par gripas pacientu nāves gadījumiem no piecām slimnīcām. </w:t>
      </w:r>
    </w:p>
    <w:p w:rsidR="00340918" w:rsidP="00340918" w14:paraId="058CECD6" w14:textId="77777777">
      <w:pPr>
        <w:tabs>
          <w:tab w:val="left" w:pos="1134"/>
        </w:tabs>
        <w:ind w:firstLine="720"/>
        <w:jc w:val="both"/>
        <w:rPr>
          <w:sz w:val="24"/>
          <w:szCs w:val="24"/>
          <w:lang w:eastAsia="lv-LV"/>
        </w:rPr>
      </w:pPr>
      <w:r w:rsidRPr="53CAE176">
        <w:rPr>
          <w:sz w:val="24"/>
          <w:szCs w:val="24"/>
          <w:lang w:eastAsia="lv-LV"/>
        </w:rPr>
        <w:t xml:space="preserve">Savlaicīga Centra informēšana par pacientu nāves gadījumiem ar gripas infekciju ļauj nepārtraukti uzraudzīt un izvērtēt epidemioloģisko </w:t>
      </w:r>
      <w:r w:rsidRPr="00F96E63">
        <w:rPr>
          <w:sz w:val="24"/>
          <w:szCs w:val="24"/>
          <w:lang w:eastAsia="lv-LV"/>
        </w:rPr>
        <w:t>situāciju valstī, novērtēt vakcinācijas efektivitāti, kā arī pieaugoša sabiedrības veselības apdraudējuma gadījumā nekavējoties rīkoties, pieņemot pierādījumos balstītus lēmumus par nepieci</w:t>
      </w:r>
      <w:r w:rsidRPr="53CAE176">
        <w:rPr>
          <w:sz w:val="24"/>
          <w:szCs w:val="24"/>
          <w:lang w:eastAsia="lv-LV"/>
        </w:rPr>
        <w:t xml:space="preserve">ešamajiem sabiedrības veselības pasākumiem. </w:t>
      </w:r>
    </w:p>
    <w:p w:rsidR="00340918" w:rsidRPr="002A54B2" w:rsidP="00340918" w14:paraId="0A668F15" w14:textId="77777777">
      <w:pPr>
        <w:tabs>
          <w:tab w:val="left" w:pos="1134"/>
        </w:tabs>
        <w:ind w:firstLine="720"/>
        <w:jc w:val="both"/>
        <w:rPr>
          <w:sz w:val="24"/>
          <w:szCs w:val="24"/>
          <w:lang w:eastAsia="lv-LV"/>
        </w:rPr>
      </w:pPr>
      <w:r w:rsidRPr="002A54B2">
        <w:rPr>
          <w:sz w:val="24"/>
          <w:szCs w:val="24"/>
          <w:lang w:eastAsia="lv-LV"/>
        </w:rPr>
        <w:t xml:space="preserve">Ērtākai elektroniskai paziņojuma aizpildīšanai Centrs </w:t>
      </w:r>
      <w:r w:rsidRPr="00F96E63">
        <w:rPr>
          <w:sz w:val="24"/>
          <w:szCs w:val="24"/>
          <w:lang w:eastAsia="lv-LV"/>
        </w:rPr>
        <w:t xml:space="preserve">ir izstrādājis normatīvajā regulējumā paredzēto ziņošanas veidlapu </w:t>
      </w:r>
      <w:r w:rsidRPr="00F96E63">
        <w:rPr>
          <w:i/>
          <w:iCs/>
          <w:sz w:val="24"/>
          <w:szCs w:val="24"/>
          <w:lang w:eastAsia="lv-LV"/>
        </w:rPr>
        <w:t>Microsoft Excel</w:t>
      </w:r>
      <w:r w:rsidRPr="00F96E63">
        <w:rPr>
          <w:sz w:val="24"/>
          <w:szCs w:val="24"/>
          <w:lang w:eastAsia="lv-LV"/>
        </w:rPr>
        <w:t xml:space="preserve"> fo</w:t>
      </w:r>
      <w:r w:rsidRPr="002A54B2">
        <w:rPr>
          <w:sz w:val="24"/>
          <w:szCs w:val="24"/>
          <w:lang w:eastAsia="lv-LV"/>
        </w:rPr>
        <w:t>rmātā (sk. pielikumā). Paziņojuma veidlapa ir atrodama</w:t>
      </w:r>
      <w:r>
        <w:rPr>
          <w:sz w:val="24"/>
          <w:szCs w:val="24"/>
          <w:lang w:eastAsia="lv-LV"/>
        </w:rPr>
        <w:t xml:space="preserve"> arī</w:t>
      </w:r>
      <w:r w:rsidRPr="002A54B2">
        <w:rPr>
          <w:sz w:val="24"/>
          <w:szCs w:val="24"/>
          <w:lang w:eastAsia="lv-LV"/>
        </w:rPr>
        <w:t xml:space="preserve"> Centra tīmekļa vietnē</w:t>
      </w:r>
      <w:r>
        <w:rPr>
          <w:rStyle w:val="FootnoteReference"/>
          <w:sz w:val="24"/>
          <w:szCs w:val="24"/>
          <w:lang w:eastAsia="lv-LV"/>
        </w:rPr>
        <w:footnoteReference w:id="4"/>
      </w:r>
      <w:r>
        <w:rPr>
          <w:sz w:val="24"/>
          <w:szCs w:val="24"/>
          <w:lang w:eastAsia="lv-LV"/>
        </w:rPr>
        <w:t xml:space="preserve"> </w:t>
      </w:r>
      <w:r w:rsidRPr="002A54B2">
        <w:rPr>
          <w:sz w:val="24"/>
          <w:szCs w:val="24"/>
          <w:lang w:eastAsia="lv-LV"/>
        </w:rPr>
        <w:t xml:space="preserve">sadaļā </w:t>
      </w:r>
      <w:r w:rsidRPr="002A54B2">
        <w:rPr>
          <w:i/>
          <w:iCs/>
          <w:sz w:val="24"/>
          <w:szCs w:val="24"/>
          <w:lang w:eastAsia="lv-LV"/>
        </w:rPr>
        <w:t xml:space="preserve">Ieteikumi un veidlapas ziņošanai par </w:t>
      </w:r>
      <w:r w:rsidRPr="002A54B2">
        <w:rPr>
          <w:i/>
          <w:iCs/>
          <w:sz w:val="24"/>
          <w:szCs w:val="24"/>
          <w:lang w:eastAsia="lv-LV"/>
        </w:rPr>
        <w:t>infekcijas slimību gadījumiem, Paziņojums par pacienta nāvi, kuram diagnosticēta gripa vai ir pamatotas aizdomas par inficēšanos ar gripas vīrusu</w:t>
      </w:r>
      <w:r w:rsidRPr="002A54B2">
        <w:rPr>
          <w:sz w:val="24"/>
          <w:szCs w:val="24"/>
          <w:lang w:eastAsia="lv-LV"/>
        </w:rPr>
        <w:t>.</w:t>
      </w:r>
      <w:r>
        <w:rPr>
          <w:sz w:val="24"/>
          <w:szCs w:val="24"/>
          <w:lang w:eastAsia="lv-LV"/>
        </w:rPr>
        <w:t xml:space="preserve"> </w:t>
      </w:r>
      <w:r w:rsidRPr="002A54B2">
        <w:rPr>
          <w:sz w:val="24"/>
          <w:szCs w:val="24"/>
          <w:lang w:eastAsia="lv-LV"/>
        </w:rPr>
        <w:t>Elektroniski aizpildīt</w:t>
      </w:r>
      <w:r>
        <w:rPr>
          <w:sz w:val="24"/>
          <w:szCs w:val="24"/>
          <w:lang w:eastAsia="lv-LV"/>
        </w:rPr>
        <w:t>u</w:t>
      </w:r>
      <w:r w:rsidRPr="002A54B2">
        <w:rPr>
          <w:sz w:val="24"/>
          <w:szCs w:val="24"/>
          <w:lang w:eastAsia="lv-LV"/>
        </w:rPr>
        <w:t xml:space="preserve"> paziņojuma veidlap</w:t>
      </w:r>
      <w:r>
        <w:rPr>
          <w:sz w:val="24"/>
          <w:szCs w:val="24"/>
          <w:lang w:eastAsia="lv-LV"/>
        </w:rPr>
        <w:t>u</w:t>
      </w:r>
      <w:r w:rsidRPr="002A54B2">
        <w:rPr>
          <w:sz w:val="24"/>
          <w:szCs w:val="24"/>
          <w:lang w:eastAsia="lv-LV"/>
        </w:rPr>
        <w:t xml:space="preserve"> </w:t>
      </w:r>
      <w:r>
        <w:rPr>
          <w:sz w:val="24"/>
          <w:szCs w:val="24"/>
          <w:lang w:eastAsia="lv-LV"/>
        </w:rPr>
        <w:t>lūdzam sūtīt</w:t>
      </w:r>
      <w:r w:rsidRPr="002A54B2">
        <w:rPr>
          <w:sz w:val="24"/>
          <w:szCs w:val="24"/>
          <w:lang w:eastAsia="lv-LV"/>
        </w:rPr>
        <w:t xml:space="preserve"> uz e-pastu </w:t>
      </w:r>
      <w:hyperlink r:id="rId6">
        <w:r w:rsidRPr="53CAE176">
          <w:rPr>
            <w:rStyle w:val="Hyperlink"/>
            <w:i/>
            <w:iCs/>
            <w:sz w:val="24"/>
            <w:szCs w:val="24"/>
            <w:lang w:eastAsia="lv-LV"/>
          </w:rPr>
          <w:t>gripa@spkc.gov.lv</w:t>
        </w:r>
      </w:hyperlink>
      <w:r w:rsidRPr="002A54B2">
        <w:rPr>
          <w:sz w:val="24"/>
          <w:szCs w:val="24"/>
          <w:lang w:eastAsia="lv-LV"/>
        </w:rPr>
        <w:t xml:space="preserve">. Datu aizsardzības nolūkos paziņojumus </w:t>
      </w:r>
      <w:r>
        <w:rPr>
          <w:sz w:val="24"/>
          <w:szCs w:val="24"/>
          <w:lang w:eastAsia="lv-LV"/>
        </w:rPr>
        <w:t>aicinām</w:t>
      </w:r>
      <w:r w:rsidRPr="002A54B2">
        <w:rPr>
          <w:sz w:val="24"/>
          <w:szCs w:val="24"/>
          <w:lang w:eastAsia="lv-LV"/>
        </w:rPr>
        <w:t xml:space="preserve"> sūtīt kā pielikumus aizsargātus ar paroli.</w:t>
      </w:r>
    </w:p>
    <w:p w:rsidR="00340918" w:rsidRPr="002E71D8" w:rsidP="00340918" w14:paraId="1B8BDB18" w14:textId="77777777">
      <w:pPr>
        <w:tabs>
          <w:tab w:val="left" w:pos="1134"/>
        </w:tabs>
        <w:ind w:firstLine="720"/>
        <w:jc w:val="both"/>
        <w:rPr>
          <w:sz w:val="24"/>
          <w:szCs w:val="24"/>
          <w:lang w:eastAsia="lv-LV"/>
        </w:rPr>
      </w:pPr>
      <w:r w:rsidRPr="732D87B3">
        <w:rPr>
          <w:sz w:val="24"/>
          <w:szCs w:val="24"/>
          <w:lang w:eastAsia="lv-LV"/>
        </w:rPr>
        <w:t>Iknedēļas pārskati par gripas, Covid-19 un citu akūtu elpceļu infekciju monitoringa datiem, t.</w:t>
      </w:r>
      <w:r>
        <w:rPr>
          <w:sz w:val="24"/>
          <w:szCs w:val="24"/>
          <w:lang w:eastAsia="lv-LV"/>
        </w:rPr>
        <w:t xml:space="preserve"> </w:t>
      </w:r>
      <w:r w:rsidRPr="732D87B3">
        <w:rPr>
          <w:sz w:val="24"/>
          <w:szCs w:val="24"/>
          <w:lang w:eastAsia="lv-LV"/>
        </w:rPr>
        <w:t xml:space="preserve">sk. </w:t>
      </w:r>
      <w:r>
        <w:rPr>
          <w:sz w:val="24"/>
          <w:szCs w:val="24"/>
          <w:lang w:eastAsia="lv-LV"/>
        </w:rPr>
        <w:t xml:space="preserve">gripas </w:t>
      </w:r>
      <w:r w:rsidRPr="732D87B3">
        <w:rPr>
          <w:sz w:val="24"/>
          <w:szCs w:val="24"/>
          <w:lang w:eastAsia="lv-LV"/>
        </w:rPr>
        <w:t>pacientu nāves gadījumiem ir pieejami Centra tīmekļa vietnē:</w:t>
      </w:r>
      <w:r>
        <w:rPr>
          <w:sz w:val="24"/>
          <w:szCs w:val="24"/>
          <w:lang w:eastAsia="lv-LV"/>
        </w:rPr>
        <w:t xml:space="preserve"> </w:t>
      </w:r>
      <w:hyperlink r:id="rId7">
        <w:r w:rsidRPr="53CAE176">
          <w:rPr>
            <w:rStyle w:val="Hyperlink"/>
            <w:sz w:val="24"/>
            <w:szCs w:val="24"/>
          </w:rPr>
          <w:t>https://www.spkc.gov.lv/lv/parskati-par-gripas-covid-19-un-citu-akutu-elpcelu-infekciju-izplatibu</w:t>
        </w:r>
      </w:hyperlink>
      <w:r>
        <w:t xml:space="preserve"> </w:t>
      </w:r>
    </w:p>
    <w:p w:rsidR="00340918" w:rsidP="00340918" w14:paraId="5F60DF9D" w14:textId="77777777">
      <w:pPr>
        <w:tabs>
          <w:tab w:val="left" w:pos="1134"/>
        </w:tabs>
        <w:ind w:firstLine="720"/>
        <w:jc w:val="both"/>
        <w:rPr>
          <w:sz w:val="24"/>
          <w:szCs w:val="24"/>
          <w:lang w:eastAsia="lv-LV"/>
        </w:rPr>
      </w:pPr>
      <w:r w:rsidRPr="53CAE176">
        <w:rPr>
          <w:sz w:val="24"/>
          <w:szCs w:val="24"/>
          <w:lang w:eastAsia="lv-LV"/>
        </w:rPr>
        <w:t>Centrs izsaka pateicību visiem kolēģiem par sadarbību un sniegto epidemioloģiski svarīgo informāciju!</w:t>
      </w:r>
    </w:p>
    <w:p w:rsidR="002079F2" w:rsidRPr="007906BB" w:rsidP="007E1C16" w14:paraId="29EFA522" w14:textId="04F06F4F">
      <w:pPr>
        <w:tabs>
          <w:tab w:val="left" w:pos="6521"/>
        </w:tabs>
        <w:spacing w:before="480" w:after="480"/>
        <w:jc w:val="both"/>
        <w:rPr>
          <w:sz w:val="24"/>
          <w:szCs w:val="24"/>
          <w:lang w:eastAsia="lv-LV"/>
        </w:rPr>
      </w:pPr>
      <w:r w:rsidRPr="33010AA7">
        <w:rPr>
          <w:sz w:val="24"/>
          <w:szCs w:val="24"/>
          <w:lang w:eastAsia="lv-LV"/>
        </w:rPr>
        <w:t>Pielikumā: Noteikumu 2. pielikuma veidlapa „Paziņojums par pacienta nāvi, kuram diagnosticēta gripa vai ir pamatotas aizdomas par inficēšanos ar gripas vīrusu”</w:t>
      </w:r>
      <w:r>
        <w:rPr>
          <w:sz w:val="24"/>
          <w:szCs w:val="24"/>
          <w:lang w:eastAsia="lv-LV"/>
        </w:rPr>
        <w:t xml:space="preserve"> </w:t>
      </w:r>
      <w:r w:rsidRPr="00C02870">
        <w:rPr>
          <w:i/>
          <w:iCs/>
          <w:sz w:val="24"/>
          <w:szCs w:val="24"/>
          <w:lang w:eastAsia="lv-LV"/>
        </w:rPr>
        <w:t>M</w:t>
      </w:r>
      <w:r>
        <w:rPr>
          <w:i/>
          <w:iCs/>
          <w:sz w:val="24"/>
          <w:szCs w:val="24"/>
          <w:lang w:eastAsia="lv-LV"/>
        </w:rPr>
        <w:t>icrosoft</w:t>
      </w:r>
      <w:r w:rsidRPr="00C02870">
        <w:rPr>
          <w:i/>
          <w:iCs/>
          <w:sz w:val="24"/>
          <w:szCs w:val="24"/>
          <w:lang w:eastAsia="lv-LV"/>
        </w:rPr>
        <w:t xml:space="preserve"> Excel</w:t>
      </w:r>
      <w:r>
        <w:rPr>
          <w:sz w:val="24"/>
          <w:szCs w:val="24"/>
          <w:lang w:eastAsia="lv-LV"/>
        </w:rPr>
        <w:t xml:space="preserve"> formātā</w:t>
      </w:r>
      <w:r w:rsidRPr="33010AA7">
        <w:rPr>
          <w:sz w:val="24"/>
          <w:szCs w:val="24"/>
          <w:lang w:eastAsia="lv-LV"/>
        </w:rPr>
        <w:t>.</w:t>
      </w:r>
    </w:p>
    <w:p w:rsidR="00477923" w:rsidRPr="003F6412" w:rsidP="00784C77" w14:paraId="1D426A00" w14:textId="1CCDA3B8">
      <w:pPr>
        <w:tabs>
          <w:tab w:val="left" w:pos="6804"/>
        </w:tabs>
        <w:spacing w:before="480" w:after="480"/>
        <w:jc w:val="both"/>
        <w:rPr>
          <w:sz w:val="24"/>
          <w:szCs w:val="24"/>
        </w:rPr>
      </w:pPr>
      <w:r w:rsidRPr="003F6412">
        <w:rPr>
          <w:sz w:val="24"/>
          <w:szCs w:val="24"/>
        </w:rPr>
        <w:t>Direktor</w:t>
      </w:r>
      <w:r>
        <w:rPr>
          <w:sz w:val="24"/>
          <w:szCs w:val="24"/>
        </w:rPr>
        <w:t xml:space="preserve">a </w:t>
      </w:r>
      <w:r>
        <w:rPr>
          <w:sz w:val="24"/>
          <w:szCs w:val="24"/>
        </w:rPr>
        <w:t>p.i</w:t>
      </w:r>
      <w:r>
        <w:rPr>
          <w:sz w:val="24"/>
          <w:szCs w:val="24"/>
        </w:rPr>
        <w:t>.</w:t>
      </w:r>
      <w:r w:rsidRPr="003F6412">
        <w:rPr>
          <w:sz w:val="24"/>
          <w:szCs w:val="24"/>
        </w:rPr>
        <w:tab/>
      </w:r>
      <w:r w:rsidRPr="003F6412">
        <w:rPr>
          <w:noProof/>
          <w:sz w:val="24"/>
          <w:szCs w:val="24"/>
          <w:lang w:eastAsia="lv-LV"/>
        </w:rPr>
        <w:t>Dzintars Mozgis</w:t>
      </w:r>
    </w:p>
    <w:p w:rsidR="002079F2" w:rsidP="002079F2" w14:paraId="0FA6DEAA" w14:textId="77777777">
      <w:pPr>
        <w:pStyle w:val="BodyB"/>
        <w:rPr>
          <w:sz w:val="20"/>
        </w:rPr>
      </w:pPr>
      <w:r>
        <w:rPr>
          <w:noProof/>
          <w:sz w:val="20"/>
        </w:rPr>
        <w:t>Karīna Venediktova</w:t>
      </w:r>
      <w:r>
        <w:rPr>
          <w:sz w:val="20"/>
        </w:rPr>
        <w:t xml:space="preserve"> </w:t>
      </w:r>
      <w:r>
        <w:rPr>
          <w:noProof/>
          <w:sz w:val="20"/>
        </w:rPr>
        <w:t>67387618</w:t>
      </w:r>
    </w:p>
    <w:p w:rsidR="00A91007" w:rsidRPr="00A91007" w:rsidP="00477923" w14:paraId="43555665" w14:textId="6DBA4052">
      <w:pPr>
        <w:pStyle w:val="BodyB"/>
      </w:pPr>
      <w:r>
        <w:rPr>
          <w:noProof/>
          <w:sz w:val="20"/>
        </w:rPr>
        <w:t>karina.venediktova@spkc.gov.lv</w:t>
      </w:r>
    </w:p>
    <w:sectPr w:rsidSect="008C265B">
      <w:footerReference w:type="default" r:id="rId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E4B" w:rsidP="00F84E4B" w14:paraId="6223A9EB" w14:textId="77777777">
    <w:pPr>
      <w:pStyle w:val="Footer"/>
      <w:jc w:val="center"/>
    </w:pPr>
    <w:r w:rsidRPr="001B3C4F">
      <w:t>DOKUMENTS PARAKSTĪTS ELEKTRONISKI AR DROŠU ELEKTRONISKO PARAKSTU</w:t>
    </w:r>
  </w:p>
  <w:p w:rsidR="00CD015F" w:rsidP="00F84E4B" w14:paraId="0D3A8D37" w14:textId="77777777">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5F4B" w14:paraId="0A1C5CB4" w14:textId="77777777">
      <w:r>
        <w:separator/>
      </w:r>
    </w:p>
  </w:footnote>
  <w:footnote w:type="continuationSeparator" w:id="1">
    <w:p w:rsidR="00CB5F4B" w14:paraId="5DEE69BC" w14:textId="77777777">
      <w:r>
        <w:continuationSeparator/>
      </w:r>
    </w:p>
  </w:footnote>
  <w:footnote w:id="2">
    <w:p w:rsidR="00340918" w:rsidP="00340918" w14:paraId="293CF8AF" w14:textId="77777777">
      <w:pPr>
        <w:pStyle w:val="FootnoteText"/>
      </w:pPr>
      <w:r w:rsidRPr="53CAE176">
        <w:rPr>
          <w:rStyle w:val="FootnoteReference"/>
        </w:rPr>
        <w:footnoteRef/>
      </w:r>
      <w:r>
        <w:t xml:space="preserve"> Saskaņā ar Ministru kabineta 2006. gada 21. novembra noteikumu Nr. 948 „Noteikumi par gripas </w:t>
      </w:r>
      <w:r>
        <w:t>pretepidēmijas</w:t>
      </w:r>
      <w:r>
        <w:t xml:space="preserve"> pasākumiem” (turpmāk – noteikumi) 4.1 punktu “Ārstniecības persona par katru nāves gadījumu, ja tā iestājusies pacientam, kuram diagnosticēta gripa vai ir pamatotas aizdomas par inficēšanos ar gripas vīrusu, 24 stundu laikā telefoniski un 48 stundu laikā rakstiski ziņo Slimību profilakses un kontroles centram, nosūtot pa faksu, pa pastu, ar kurjeru vai elektroniski aizpildītu paziņojuma veidlapu atbilstoši šo noteikumu 2.pielikumam”.  </w:t>
      </w:r>
    </w:p>
  </w:footnote>
  <w:footnote w:id="3">
    <w:p w:rsidR="00340918" w:rsidP="00340918" w14:paraId="231D0F8B" w14:textId="77777777">
      <w:pPr>
        <w:pStyle w:val="FootnoteText"/>
      </w:pPr>
      <w:r w:rsidRPr="53CAE176">
        <w:rPr>
          <w:rStyle w:val="FootnoteReference"/>
        </w:rPr>
        <w:footnoteRef/>
      </w:r>
      <w:r>
        <w:t xml:space="preserve"> </w:t>
      </w:r>
      <w:r>
        <w:t>Latvijas Iedzīvotāju nāves cēloņu datu bāzes dati</w:t>
      </w:r>
    </w:p>
  </w:footnote>
  <w:footnote w:id="4">
    <w:p w:rsidR="00340918" w:rsidRPr="002A54B2" w:rsidP="00340918" w14:paraId="2CEA034A" w14:textId="77777777">
      <w:pPr>
        <w:pStyle w:val="FootnoteText"/>
        <w:rPr>
          <w:lang w:val="en-US"/>
        </w:rPr>
      </w:pPr>
      <w:r>
        <w:rPr>
          <w:rStyle w:val="FootnoteReference"/>
        </w:rPr>
        <w:footnoteRef/>
      </w:r>
      <w:r>
        <w:t xml:space="preserve"> </w:t>
      </w:r>
      <w:hyperlink r:id="rId1" w:history="1">
        <w:r w:rsidRPr="00F44955">
          <w:rPr>
            <w:rStyle w:val="Hyperlink"/>
          </w:rPr>
          <w:t>https://www.spkc.gov.lv/lv/ieteikumi-un-veidlapas-zinosanai-par-infekcijas-slimibu-gadijumiem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6F776723"/>
    <w:multiLevelType w:val="hybridMultilevel"/>
    <w:tmpl w:val="75C47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0"/>
  </w:num>
  <w:num w:numId="2" w16cid:durableId="6198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72A3B"/>
    <w:rsid w:val="00195A3A"/>
    <w:rsid w:val="001963C5"/>
    <w:rsid w:val="001B3C4F"/>
    <w:rsid w:val="001B697D"/>
    <w:rsid w:val="001F3DE1"/>
    <w:rsid w:val="002079F2"/>
    <w:rsid w:val="00222B8B"/>
    <w:rsid w:val="00237C47"/>
    <w:rsid w:val="00247E9C"/>
    <w:rsid w:val="00280BAC"/>
    <w:rsid w:val="002A54B2"/>
    <w:rsid w:val="002B359D"/>
    <w:rsid w:val="002B4CA1"/>
    <w:rsid w:val="002E71D8"/>
    <w:rsid w:val="00340918"/>
    <w:rsid w:val="00376EF5"/>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7CC8"/>
    <w:rsid w:val="005D3E87"/>
    <w:rsid w:val="006355A1"/>
    <w:rsid w:val="006765DF"/>
    <w:rsid w:val="006A3E8D"/>
    <w:rsid w:val="006D3FD6"/>
    <w:rsid w:val="007322A6"/>
    <w:rsid w:val="00784C77"/>
    <w:rsid w:val="007906BB"/>
    <w:rsid w:val="007E1C16"/>
    <w:rsid w:val="00893003"/>
    <w:rsid w:val="008B15BC"/>
    <w:rsid w:val="008B6742"/>
    <w:rsid w:val="008B6D06"/>
    <w:rsid w:val="008B742D"/>
    <w:rsid w:val="008C265B"/>
    <w:rsid w:val="009351A0"/>
    <w:rsid w:val="00987215"/>
    <w:rsid w:val="00994AA3"/>
    <w:rsid w:val="009E26F3"/>
    <w:rsid w:val="00A23AAC"/>
    <w:rsid w:val="00A24A6B"/>
    <w:rsid w:val="00A277B8"/>
    <w:rsid w:val="00A91007"/>
    <w:rsid w:val="00AD0ACD"/>
    <w:rsid w:val="00B05611"/>
    <w:rsid w:val="00B16961"/>
    <w:rsid w:val="00B27BB8"/>
    <w:rsid w:val="00B86B76"/>
    <w:rsid w:val="00BE7124"/>
    <w:rsid w:val="00BF3D96"/>
    <w:rsid w:val="00C02870"/>
    <w:rsid w:val="00C12D6E"/>
    <w:rsid w:val="00C4438A"/>
    <w:rsid w:val="00C92245"/>
    <w:rsid w:val="00CA27BF"/>
    <w:rsid w:val="00CB2202"/>
    <w:rsid w:val="00CB5F4B"/>
    <w:rsid w:val="00CB77F0"/>
    <w:rsid w:val="00CC1A82"/>
    <w:rsid w:val="00CC4F90"/>
    <w:rsid w:val="00CD015F"/>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44955"/>
    <w:rsid w:val="00F84E4B"/>
    <w:rsid w:val="00F875F8"/>
    <w:rsid w:val="00F96E63"/>
    <w:rsid w:val="00FB54D0"/>
    <w:rsid w:val="00FE4CB2"/>
    <w:rsid w:val="33010AA7"/>
    <w:rsid w:val="53CAE176"/>
    <w:rsid w:val="732D87B3"/>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740D110"/>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basedOn w:val="DefaultParagraphFont"/>
    <w:uiPriority w:val="99"/>
    <w:unhideWhenUsed/>
    <w:rsid w:val="00340918"/>
    <w:rPr>
      <w:color w:val="0563C1" w:themeColor="hyperlink"/>
      <w:u w:val="single"/>
    </w:rPr>
  </w:style>
  <w:style w:type="paragraph" w:styleId="FootnoteText">
    <w:name w:val="footnote text"/>
    <w:basedOn w:val="Normal"/>
    <w:link w:val="FootnoteTextChar"/>
    <w:uiPriority w:val="99"/>
    <w:semiHidden/>
    <w:unhideWhenUsed/>
    <w:rsid w:val="00340918"/>
  </w:style>
  <w:style w:type="character" w:customStyle="1" w:styleId="FootnoteTextChar">
    <w:name w:val="Footnote Text Char"/>
    <w:basedOn w:val="DefaultParagraphFont"/>
    <w:link w:val="FootnoteText"/>
    <w:uiPriority w:val="99"/>
    <w:semiHidden/>
    <w:rsid w:val="00340918"/>
    <w:rPr>
      <w:rFonts w:eastAsia="Times New Roman"/>
      <w:lang w:eastAsia="en-US"/>
    </w:rPr>
  </w:style>
  <w:style w:type="character" w:styleId="FootnoteReference">
    <w:name w:val="footnote reference"/>
    <w:basedOn w:val="DefaultParagraphFont"/>
    <w:uiPriority w:val="99"/>
    <w:unhideWhenUsed/>
    <w:rsid w:val="00340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hyperlink" Target="mailto:gripa@spkc.gov.lv" TargetMode="External" /><Relationship Id="rId7" Type="http://schemas.openxmlformats.org/officeDocument/2006/relationships/hyperlink" Target="https://www.spkc.gov.lv/lv/parskati-par-gripas-covid-19-un-citu-akutu-elpcelu-infekciju-izplatibu"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spkc.gov.lv/lv/ieteikumi-un-veidlapas-zinosanai-par-infekcijas-slimibu-gadijumie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5</TotalTime>
  <Pages>2</Pages>
  <Words>1921</Words>
  <Characters>1096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Elīna Brangule</cp:lastModifiedBy>
  <cp:revision>8</cp:revision>
  <cp:lastPrinted>2016-02-15T06:53:00Z</cp:lastPrinted>
  <dcterms:created xsi:type="dcterms:W3CDTF">2020-02-27T07:31:00Z</dcterms:created>
  <dcterms:modified xsi:type="dcterms:W3CDTF">2026-02-11T12:09:00Z</dcterms:modified>
</cp:coreProperties>
</file>