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345C7FD4" w:rsidR="00DB19FC" w:rsidRPr="00C12701" w:rsidRDefault="003E7716" w:rsidP="00DB19FC">
      <w:pPr>
        <w:rPr>
          <w:rFonts w:ascii="Calibri" w:hAnsi="Calibri" w:cs="Calibri"/>
          <w:b/>
          <w:bCs/>
        </w:rPr>
      </w:pPr>
      <w:r w:rsidRPr="00C12701">
        <w:rPr>
          <w:rFonts w:ascii="Calibri" w:hAnsi="Calibri" w:cs="Calibri"/>
          <w:b/>
          <w:bCs/>
        </w:rPr>
        <w:t>2</w:t>
      </w:r>
      <w:r w:rsidR="006A77D2" w:rsidRPr="00C12701">
        <w:rPr>
          <w:rFonts w:ascii="Calibri" w:hAnsi="Calibri" w:cs="Calibri"/>
          <w:b/>
          <w:bCs/>
        </w:rPr>
        <w:t>3</w:t>
      </w:r>
      <w:r w:rsidR="00BE4953" w:rsidRPr="00C12701">
        <w:rPr>
          <w:rFonts w:ascii="Calibri" w:hAnsi="Calibri" w:cs="Calibri"/>
          <w:b/>
          <w:bCs/>
        </w:rPr>
        <w:t>.0</w:t>
      </w:r>
      <w:r w:rsidR="005E7211" w:rsidRPr="00C12701">
        <w:rPr>
          <w:rFonts w:ascii="Calibri" w:hAnsi="Calibri" w:cs="Calibri"/>
          <w:b/>
          <w:bCs/>
        </w:rPr>
        <w:t>3</w:t>
      </w:r>
      <w:r w:rsidR="00BE4953" w:rsidRPr="00C12701">
        <w:rPr>
          <w:rFonts w:ascii="Calibri" w:hAnsi="Calibri" w:cs="Calibri"/>
          <w:b/>
          <w:bCs/>
        </w:rPr>
        <w:t>.2026</w:t>
      </w:r>
    </w:p>
    <w:p w14:paraId="49C57E47" w14:textId="77777777" w:rsidR="0097747B" w:rsidRPr="00C12701" w:rsidRDefault="0097747B" w:rsidP="00FB16C8">
      <w:pPr>
        <w:rPr>
          <w:rFonts w:ascii="Calibri" w:hAnsi="Calibri" w:cs="Calibri"/>
        </w:rPr>
      </w:pPr>
      <w:r w:rsidRPr="00C12701">
        <w:rPr>
          <w:rFonts w:ascii="Calibri" w:hAnsi="Calibri" w:cs="Calibri"/>
          <w:b/>
          <w:bCs/>
        </w:rPr>
        <w:t>E-pasta nosaukums</w:t>
      </w:r>
      <w:r w:rsidRPr="00C12701">
        <w:rPr>
          <w:rFonts w:ascii="Calibri" w:hAnsi="Calibri" w:cs="Calibri"/>
        </w:rPr>
        <w:t xml:space="preserve"> </w:t>
      </w:r>
    </w:p>
    <w:p w14:paraId="79281373" w14:textId="77777777" w:rsidR="00C12701" w:rsidRPr="00C12701" w:rsidRDefault="00C12701" w:rsidP="00F97A82">
      <w:pPr>
        <w:rPr>
          <w:rFonts w:ascii="Calibri" w:hAnsi="Calibri" w:cs="Calibri"/>
          <w:kern w:val="0"/>
          <w:lang w:eastAsia="lv-LV"/>
          <w14:ligatures w14:val="none"/>
        </w:rPr>
      </w:pPr>
      <w:r w:rsidRPr="00C12701">
        <w:rPr>
          <w:rFonts w:ascii="Calibri" w:hAnsi="Calibri" w:cs="Calibri"/>
          <w:kern w:val="0"/>
          <w:lang w:eastAsia="lv-LV"/>
          <w14:ligatures w14:val="none"/>
        </w:rPr>
        <w:t>Par pacientu grupu 50 (īslaicīgais pacients) un 73 (nereģistrētie pacienti) pielietojumu VIS</w:t>
      </w:r>
    </w:p>
    <w:p w14:paraId="5A9F8A4D" w14:textId="435D9BA0" w:rsidR="00F97A82" w:rsidRPr="00C12701" w:rsidRDefault="00F97A82" w:rsidP="00F97A82">
      <w:pPr>
        <w:rPr>
          <w:rFonts w:ascii="Calibri" w:hAnsi="Calibri" w:cs="Calibri"/>
          <w:b/>
          <w:bCs/>
        </w:rPr>
      </w:pPr>
      <w:r w:rsidRPr="00C12701">
        <w:rPr>
          <w:rFonts w:ascii="Calibri" w:hAnsi="Calibri" w:cs="Calibri"/>
          <w:b/>
          <w:bCs/>
        </w:rPr>
        <w:t>E-pasta teksts</w:t>
      </w:r>
    </w:p>
    <w:p w14:paraId="1B099F7D"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t>Labdien!</w:t>
      </w:r>
    </w:p>
    <w:p w14:paraId="5B383435" w14:textId="77777777" w:rsidR="00C12701" w:rsidRPr="00C12701" w:rsidRDefault="00C12701" w:rsidP="00C12701">
      <w:pPr>
        <w:pStyle w:val="xmsonormal"/>
        <w:jc w:val="both"/>
        <w:rPr>
          <w:rFonts w:ascii="Calibri" w:hAnsi="Calibri" w:cs="Calibri"/>
          <w:sz w:val="22"/>
          <w:szCs w:val="22"/>
        </w:rPr>
      </w:pPr>
    </w:p>
    <w:p w14:paraId="1637BF21"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t xml:space="preserve">Nacionālais veselības dienests (turpmāk – Dienests) ir veicis datu atlasi par 2025.gadā uzrādītajiem uzskaites dokumentiem, kuros uzrādīta 50. pacientu grupa (īslaicīgais pacients) un 73. pacienta grupa (nereģistrētie pacienti), un atgādina ārstniecības iestādes par kārtību kādā no valsts budžeta līdzekļiem tiek sniegti un apmaksāti veselības aprūpes pakalpojumi īslaicīgiem pacientiem. </w:t>
      </w:r>
    </w:p>
    <w:p w14:paraId="73AC21B6"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t>Par īslaicīgā pacienta aprūpi ģimenes ārstam maksā atbilstoši aprūpes epizožu un manipulāciju tarifiem. Aprūpes epizodes tarifs pie ģimenes ārsta noteikts 8, 71 EUR.</w:t>
      </w:r>
    </w:p>
    <w:p w14:paraId="2D964352"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t xml:space="preserve">Ja īslaicīgais pacients ir reģistrēts pie ģimenes ārsta, tad aprūpes epizodi apmaksā no tā ģimenes ārsta līdzekļiem, pie kura persona ir reģistrēta, bet ne vairāk kā 50% apmērā no </w:t>
      </w:r>
      <w:proofErr w:type="spellStart"/>
      <w:r w:rsidRPr="00C12701">
        <w:rPr>
          <w:rFonts w:ascii="Calibri" w:hAnsi="Calibri" w:cs="Calibri"/>
          <w:sz w:val="22"/>
          <w:szCs w:val="22"/>
        </w:rPr>
        <w:t>kapitācijas</w:t>
      </w:r>
      <w:proofErr w:type="spellEnd"/>
      <w:r w:rsidRPr="00C12701">
        <w:rPr>
          <w:rFonts w:ascii="Calibri" w:hAnsi="Calibri" w:cs="Calibri"/>
          <w:sz w:val="22"/>
          <w:szCs w:val="22"/>
        </w:rPr>
        <w:t xml:space="preserve"> naudas maksājuma. </w:t>
      </w:r>
    </w:p>
    <w:p w14:paraId="78A17288"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t xml:space="preserve">Ministru kabineta 2018.gada 28.augusta noteikumi Nr.555 "Veselības aprūpes pakalpojumu organizēšanas un samaksas kārtība" (turpmāk – Noteikumi) nosaka gadījumus, kad persona atbilst īslaicīgajam pacientam, proti, ģimenes ārsta pacientu sarakstā nereģistrējusies persona (turpmāk – īslaicīgais pacients), kura: </w:t>
      </w:r>
    </w:p>
    <w:p w14:paraId="64B3D220" w14:textId="77777777" w:rsidR="00C12701" w:rsidRPr="00C12701" w:rsidRDefault="00C12701" w:rsidP="00C12701">
      <w:pPr>
        <w:pStyle w:val="xmsonormal"/>
        <w:numPr>
          <w:ilvl w:val="0"/>
          <w:numId w:val="27"/>
        </w:numPr>
        <w:jc w:val="both"/>
        <w:rPr>
          <w:rFonts w:ascii="Calibri" w:eastAsia="Times New Roman" w:hAnsi="Calibri" w:cs="Calibri"/>
          <w:sz w:val="22"/>
          <w:szCs w:val="22"/>
        </w:rPr>
      </w:pPr>
      <w:r w:rsidRPr="00C12701">
        <w:rPr>
          <w:rFonts w:ascii="Calibri" w:eastAsia="Times New Roman" w:hAnsi="Calibri" w:cs="Calibri"/>
          <w:sz w:val="22"/>
          <w:szCs w:val="22"/>
        </w:rPr>
        <w:t xml:space="preserve">īslaicīgas uzturēšanās (piemēram, komandējums, apciemojums) laikā ir ieguvusi slimību un vērsusies uzturēšanās vietai tuvākajā ģimenes ārsta praksē pēc palīdzības; </w:t>
      </w:r>
    </w:p>
    <w:p w14:paraId="6191063E" w14:textId="77777777" w:rsidR="00C12701" w:rsidRPr="00C12701" w:rsidRDefault="00C12701" w:rsidP="00C12701">
      <w:pPr>
        <w:pStyle w:val="xmsonormal"/>
        <w:numPr>
          <w:ilvl w:val="0"/>
          <w:numId w:val="27"/>
        </w:numPr>
        <w:jc w:val="both"/>
        <w:rPr>
          <w:rFonts w:ascii="Calibri" w:eastAsia="Times New Roman" w:hAnsi="Calibri" w:cs="Calibri"/>
          <w:sz w:val="22"/>
          <w:szCs w:val="22"/>
        </w:rPr>
      </w:pPr>
      <w:r w:rsidRPr="00C12701">
        <w:rPr>
          <w:rFonts w:ascii="Calibri" w:eastAsia="Times New Roman" w:hAnsi="Calibri" w:cs="Calibri"/>
          <w:sz w:val="22"/>
          <w:szCs w:val="22"/>
        </w:rPr>
        <w:t xml:space="preserve">periodiski atrodas tuvinieku vai aizbildņu aprūpē attiecīgā ģimenes ārsta darbības </w:t>
      </w:r>
      <w:proofErr w:type="spellStart"/>
      <w:r w:rsidRPr="00C12701">
        <w:rPr>
          <w:rFonts w:ascii="Calibri" w:eastAsia="Times New Roman" w:hAnsi="Calibri" w:cs="Calibri"/>
          <w:sz w:val="22"/>
          <w:szCs w:val="22"/>
        </w:rPr>
        <w:t>pamatteritorijā</w:t>
      </w:r>
      <w:proofErr w:type="spellEnd"/>
      <w:r w:rsidRPr="00C12701">
        <w:rPr>
          <w:rFonts w:ascii="Calibri" w:eastAsia="Times New Roman" w:hAnsi="Calibri" w:cs="Calibri"/>
          <w:sz w:val="22"/>
          <w:szCs w:val="22"/>
        </w:rPr>
        <w:t xml:space="preserve">; </w:t>
      </w:r>
    </w:p>
    <w:p w14:paraId="13A95297" w14:textId="77777777" w:rsidR="00C12701" w:rsidRPr="00C12701" w:rsidRDefault="00C12701" w:rsidP="00C12701">
      <w:pPr>
        <w:pStyle w:val="xmsonormal"/>
        <w:numPr>
          <w:ilvl w:val="0"/>
          <w:numId w:val="27"/>
        </w:numPr>
        <w:jc w:val="both"/>
        <w:rPr>
          <w:rFonts w:ascii="Calibri" w:eastAsia="Times New Roman" w:hAnsi="Calibri" w:cs="Calibri"/>
          <w:sz w:val="22"/>
          <w:szCs w:val="22"/>
        </w:rPr>
      </w:pPr>
      <w:r w:rsidRPr="00C12701">
        <w:rPr>
          <w:rFonts w:ascii="Calibri" w:eastAsia="Times New Roman" w:hAnsi="Calibri" w:cs="Calibri"/>
          <w:sz w:val="22"/>
          <w:szCs w:val="22"/>
        </w:rPr>
        <w:t xml:space="preserve">nav vispār reģistrējusies pie ģimenes ārsta, bet vērsusies pie ģimenes ārsta pēc palīdzības; </w:t>
      </w:r>
    </w:p>
    <w:p w14:paraId="61D22B11" w14:textId="77777777" w:rsidR="00C12701" w:rsidRPr="00C12701" w:rsidRDefault="00C12701" w:rsidP="00C12701">
      <w:pPr>
        <w:pStyle w:val="xmsonormal"/>
        <w:numPr>
          <w:ilvl w:val="0"/>
          <w:numId w:val="27"/>
        </w:numPr>
        <w:jc w:val="both"/>
        <w:rPr>
          <w:rFonts w:ascii="Calibri" w:eastAsia="Times New Roman" w:hAnsi="Calibri" w:cs="Calibri"/>
          <w:sz w:val="22"/>
          <w:szCs w:val="22"/>
        </w:rPr>
      </w:pPr>
      <w:r w:rsidRPr="00C12701">
        <w:rPr>
          <w:rFonts w:ascii="Calibri" w:eastAsia="Times New Roman" w:hAnsi="Calibri" w:cs="Calibri"/>
          <w:sz w:val="22"/>
          <w:szCs w:val="22"/>
        </w:rPr>
        <w:t>ir pie cita ģimenes ārsta reģistrēts pacients, kas vērsies pie ģimenes ārsta kā pie pacienta ģimenes ārsta aizvietotāja (īslaicīgas aizvietošanas gadījumā).</w:t>
      </w:r>
    </w:p>
    <w:p w14:paraId="56CB1E90"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t>Atbilstoši Noteikumiem ģimenes ārsta pacients ir arī persona, kuras reģistrācija pie ģimenes ārsta ir bloķēta. Personas reģistrāciju pie ģimenes ārsta Dienests bloķē:</w:t>
      </w:r>
    </w:p>
    <w:p w14:paraId="49607006" w14:textId="77777777" w:rsidR="00C12701" w:rsidRPr="00C12701" w:rsidRDefault="00C12701" w:rsidP="00C12701">
      <w:pPr>
        <w:pStyle w:val="xmsonormal"/>
        <w:numPr>
          <w:ilvl w:val="0"/>
          <w:numId w:val="28"/>
        </w:numPr>
        <w:jc w:val="both"/>
        <w:rPr>
          <w:rFonts w:ascii="Calibri" w:eastAsia="Times New Roman" w:hAnsi="Calibri" w:cs="Calibri"/>
          <w:sz w:val="22"/>
          <w:szCs w:val="22"/>
        </w:rPr>
      </w:pPr>
      <w:r w:rsidRPr="00C12701">
        <w:rPr>
          <w:rFonts w:ascii="Calibri" w:eastAsia="Times New Roman" w:hAnsi="Calibri" w:cs="Calibri"/>
          <w:sz w:val="22"/>
          <w:szCs w:val="22"/>
        </w:rPr>
        <w:t>psihiatriskā profila stacionāro ārstniecības iestāžu pacientiem, kuri nepārtraukti ārstējas ilgāk par trijiem mēnešiem;</w:t>
      </w:r>
    </w:p>
    <w:p w14:paraId="13B67DBC" w14:textId="77777777" w:rsidR="00C12701" w:rsidRPr="00C12701" w:rsidRDefault="00C12701" w:rsidP="00C12701">
      <w:pPr>
        <w:pStyle w:val="xmsonormal"/>
        <w:numPr>
          <w:ilvl w:val="0"/>
          <w:numId w:val="28"/>
        </w:numPr>
        <w:jc w:val="both"/>
        <w:rPr>
          <w:rFonts w:ascii="Calibri" w:eastAsia="Times New Roman" w:hAnsi="Calibri" w:cs="Calibri"/>
          <w:sz w:val="22"/>
          <w:szCs w:val="22"/>
        </w:rPr>
      </w:pPr>
      <w:r w:rsidRPr="00C12701">
        <w:rPr>
          <w:rFonts w:ascii="Calibri" w:eastAsia="Times New Roman" w:hAnsi="Calibri" w:cs="Calibri"/>
          <w:sz w:val="22"/>
          <w:szCs w:val="22"/>
        </w:rPr>
        <w:t>ieslodzījumā esošām personām;</w:t>
      </w:r>
    </w:p>
    <w:p w14:paraId="5B0249D2" w14:textId="77777777" w:rsidR="00C12701" w:rsidRPr="00C12701" w:rsidRDefault="00C12701" w:rsidP="00C12701">
      <w:pPr>
        <w:pStyle w:val="xmsonormal"/>
        <w:numPr>
          <w:ilvl w:val="0"/>
          <w:numId w:val="29"/>
        </w:numPr>
        <w:jc w:val="both"/>
        <w:rPr>
          <w:rFonts w:ascii="Calibri" w:eastAsia="Times New Roman" w:hAnsi="Calibri" w:cs="Calibri"/>
          <w:sz w:val="22"/>
          <w:szCs w:val="22"/>
        </w:rPr>
      </w:pPr>
      <w:r w:rsidRPr="00C12701">
        <w:rPr>
          <w:rFonts w:ascii="Calibri" w:eastAsia="Times New Roman" w:hAnsi="Calibri" w:cs="Calibri"/>
          <w:sz w:val="22"/>
          <w:szCs w:val="22"/>
        </w:rPr>
        <w:t>personām, par kurām dienests no Fizisko personu reģistra saņēmis ziņas par norādīto dzīvesvietu ārpus Latvijas Republikas.</w:t>
      </w:r>
    </w:p>
    <w:p w14:paraId="01D6E3CC"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t>Dienests vērš uzmanību, ka bloķētai personai ir tiesības saņemt valsts apmaksātus veselības aprūpes pakalpojumus. Par bloķētām personām sniegtajiem veselības aprūpes pakalpojumiem samaksa tiek veikta kā par īslaicīgo pacientu aprūpi.</w:t>
      </w:r>
    </w:p>
    <w:p w14:paraId="2BEDA8CE"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t xml:space="preserve">Saskaņā ar pacientu grupu klasifikatoru nereģistrēts pacients ir persona, kas saņem ģimenes ārsta sniegtos veselības aprūpes pakalpojumus un nav reģistrēta neviena ģimenes ārsta pacientu sarakstā. Ievadot uzskaites dokumentus Vadības informācijas sistēmā (turpmāk – VIS), 73. un 50. pacientu grupas tiek ieliktas automātiski. </w:t>
      </w:r>
    </w:p>
    <w:p w14:paraId="5771BA4F"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t>Nodrošinot veselības aprūpes pakalpojumus īslaicīgajiem un nereģistrētajiem pacientiem, Dienests aicina pievērst uzmanību tādiem jautājumiem kā  savlaicīga pacientu reģistrācija, īslaicīgā pacienta atbilstība, kā arī korektai uzskaites dokumentu aizpildīšanai VIS īslaicīgās un  ilglaicīgās aizvietošanas gadījumos.</w:t>
      </w:r>
    </w:p>
    <w:p w14:paraId="41054084"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t xml:space="preserve">Secīgi Dienests atgādina par talonu aizpildīšanu un apmaksu īslaicīgās un ilgstošās aizvietošanas gadījumā. </w:t>
      </w:r>
    </w:p>
    <w:p w14:paraId="0188DD4D"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lastRenderedPageBreak/>
        <w:t xml:space="preserve">Dienests reizi gadā līdz kārtējā gada 1. maijam izmaksā maksājumu par praksē nodarbināto ārstniecības personu aizvietošanas nodrošināšanu attaisnotas prombūtnes laikā. Minētais maksājums ir 1/12 daļa no praksei plānotās </w:t>
      </w:r>
      <w:proofErr w:type="spellStart"/>
      <w:r w:rsidRPr="00C12701">
        <w:rPr>
          <w:rFonts w:ascii="Calibri" w:hAnsi="Calibri" w:cs="Calibri"/>
          <w:sz w:val="22"/>
          <w:szCs w:val="22"/>
        </w:rPr>
        <w:t>kapitācijas</w:t>
      </w:r>
      <w:proofErr w:type="spellEnd"/>
      <w:r w:rsidRPr="00C12701">
        <w:rPr>
          <w:rFonts w:ascii="Calibri" w:hAnsi="Calibri" w:cs="Calibri"/>
          <w:sz w:val="22"/>
          <w:szCs w:val="22"/>
        </w:rPr>
        <w:t xml:space="preserve"> naudas attiecīgajam gadam. Ģimenes ārsta prombūtnes laikā ir jānodrošina aizvietotājs un jāievēro sekojoša uzskaites dokumentu aizpildīšanas kārtība.</w:t>
      </w:r>
    </w:p>
    <w:p w14:paraId="7A9E822D"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b/>
          <w:bCs/>
          <w:i/>
          <w:iCs/>
          <w:sz w:val="22"/>
          <w:szCs w:val="22"/>
        </w:rPr>
        <w:t>Talona aizpildīšana īslaicīgās aizvietošanas gadījumā</w:t>
      </w:r>
    </w:p>
    <w:p w14:paraId="2DF4E2D3"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t>Īslaicīgās aizvietošanas gadījumā VIS ambulatorajā talonā (turpmāk – talons) kā pakalpojumu sniedzēju norāda prombūtnē esošo ģimenes ārstu un talona sadaļā “Ārsts – aizvietotājs” norāda aizvietojošā ārsta datus. Minētā sadaļa atrodama VIS talona lejasdaļā, kā norādīts zemāk esošajā attēlā.</w:t>
      </w:r>
    </w:p>
    <w:p w14:paraId="26AE7C04" w14:textId="1298CF37" w:rsidR="00C12701" w:rsidRPr="00C12701" w:rsidRDefault="00C12701" w:rsidP="00C12701">
      <w:pPr>
        <w:pStyle w:val="xmsonormal"/>
        <w:jc w:val="both"/>
        <w:rPr>
          <w:rFonts w:ascii="Calibri" w:hAnsi="Calibri" w:cs="Calibri"/>
          <w:sz w:val="22"/>
          <w:szCs w:val="22"/>
        </w:rPr>
      </w:pPr>
      <w:r w:rsidRPr="00C12701">
        <w:rPr>
          <w:rFonts w:ascii="Calibri" w:hAnsi="Calibri" w:cs="Calibri"/>
          <w:noProof/>
          <w:sz w:val="22"/>
          <w:szCs w:val="22"/>
        </w:rPr>
        <w:drawing>
          <wp:inline distT="0" distB="0" distL="0" distR="0" wp14:anchorId="237D5A9B" wp14:editId="3C332ED7">
            <wp:extent cx="5267325" cy="619125"/>
            <wp:effectExtent l="0" t="0" r="9525" b="9525"/>
            <wp:docPr id="1288099001" name="Attēls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A screenshot of a computer&#10;&#10;Description automatically generated with medium confidenc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67325" cy="619125"/>
                    </a:xfrm>
                    <a:prstGeom prst="rect">
                      <a:avLst/>
                    </a:prstGeom>
                    <a:noFill/>
                    <a:ln>
                      <a:noFill/>
                    </a:ln>
                  </pic:spPr>
                </pic:pic>
              </a:graphicData>
            </a:graphic>
          </wp:inline>
        </w:drawing>
      </w:r>
    </w:p>
    <w:p w14:paraId="0ED8643F"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t xml:space="preserve">Ja prombūtnē esošais ārsts un aizvietotājs ir nodarbināti dažādās iestādēs, informācija par sniegtajiem pakalpojumiem jānodod prombūtnē esošā ārsta ĢĀP ievadīšanai VIS. Atbilstoši noformētam talonam samaksa par veikto darbu tiek aprēķināta prombūtnē esošajam ārstam. </w:t>
      </w:r>
    </w:p>
    <w:p w14:paraId="1E8A809B"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b/>
          <w:bCs/>
          <w:i/>
          <w:iCs/>
          <w:sz w:val="22"/>
          <w:szCs w:val="22"/>
        </w:rPr>
        <w:t> </w:t>
      </w:r>
    </w:p>
    <w:p w14:paraId="42748B3B"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b/>
          <w:bCs/>
          <w:i/>
          <w:iCs/>
          <w:sz w:val="22"/>
          <w:szCs w:val="22"/>
        </w:rPr>
        <w:t>Talona aizpildīšana ilgstošās aizvietošanas gadījumā</w:t>
      </w:r>
    </w:p>
    <w:p w14:paraId="0C0E36DF"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t>Atbilstoši līgumpartnera sniegtajai informācijai, Dienests veic atzīmi par ilgstošo aizvietošanu, noformējot VIS aizvietošanas līgumu.</w:t>
      </w:r>
    </w:p>
    <w:p w14:paraId="185BB3B9"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t>Ilgstošās aizvietošanas gadījumā aizvietojošais ārsts vada talonu, norādot datus par sevi kā pakalpojumu sniedzēju un prakses informāciju. Sadaļu  “Ārsts - aizvietotājs” neaizpilda. Ņemot vērā, ka VIS tiek noformēts aizvietošanas līgums, samaksa par veikto darbu tiek aprēķināta aizvietojošajam ārstam.</w:t>
      </w:r>
    </w:p>
    <w:p w14:paraId="110A8837" w14:textId="77777777" w:rsidR="00C12701" w:rsidRPr="00C12701" w:rsidRDefault="00C12701" w:rsidP="00C12701">
      <w:pPr>
        <w:pStyle w:val="xmsonormal"/>
        <w:jc w:val="both"/>
        <w:rPr>
          <w:rFonts w:ascii="Calibri" w:hAnsi="Calibri" w:cs="Calibri"/>
          <w:sz w:val="22"/>
          <w:szCs w:val="22"/>
        </w:rPr>
      </w:pPr>
      <w:r w:rsidRPr="00C12701">
        <w:rPr>
          <w:rFonts w:ascii="Calibri" w:hAnsi="Calibri" w:cs="Calibri"/>
          <w:sz w:val="22"/>
          <w:szCs w:val="22"/>
        </w:rPr>
        <w:t>Paldies par līdzšinējo sadarbību!</w:t>
      </w:r>
    </w:p>
    <w:p w14:paraId="3F3E7651" w14:textId="5A69C176" w:rsidR="00AC32E2" w:rsidRPr="00C12701" w:rsidRDefault="00AC32E2" w:rsidP="00AC32E2">
      <w:pPr>
        <w:rPr>
          <w:rFonts w:ascii="Calibri" w:hAnsi="Calibri" w:cs="Calibri"/>
        </w:rPr>
      </w:pPr>
    </w:p>
    <w:p w14:paraId="16A89007" w14:textId="200D826C" w:rsidR="00DB295A" w:rsidRPr="00C12701" w:rsidRDefault="00C036D7" w:rsidP="00C036D7">
      <w:pPr>
        <w:jc w:val="both"/>
        <w:rPr>
          <w:rFonts w:ascii="Calibri" w:hAnsi="Calibri" w:cs="Calibri"/>
        </w:rPr>
      </w:pPr>
      <w:r w:rsidRPr="00C12701">
        <w:rPr>
          <w:rFonts w:ascii="Calibri" w:hAnsi="Calibri" w:cs="Calibri"/>
        </w:rPr>
        <w:t>Ar cieņu</w:t>
      </w:r>
    </w:p>
    <w:p w14:paraId="2E2158C7" w14:textId="1E46A159" w:rsidR="00C036D7" w:rsidRPr="00C12701" w:rsidRDefault="00C036D7" w:rsidP="00C036D7">
      <w:pPr>
        <w:jc w:val="both"/>
        <w:rPr>
          <w:rFonts w:ascii="Calibri" w:hAnsi="Calibri" w:cs="Calibri"/>
        </w:rPr>
      </w:pPr>
      <w:r w:rsidRPr="00C12701">
        <w:rPr>
          <w:rFonts w:ascii="Calibri" w:hAnsi="Calibri" w:cs="Calibri"/>
        </w:rPr>
        <w:t>Nacionālais veselības dienests</w:t>
      </w:r>
    </w:p>
    <w:p w14:paraId="360CB577" w14:textId="77777777" w:rsidR="006B3BC5" w:rsidRPr="00C12701" w:rsidRDefault="006B3BC5" w:rsidP="00F97A82">
      <w:pPr>
        <w:rPr>
          <w:rFonts w:ascii="Calibri" w:hAnsi="Calibri" w:cs="Calibri"/>
          <w:b/>
          <w:bCs/>
        </w:rPr>
      </w:pPr>
    </w:p>
    <w:sectPr w:rsidR="006B3BC5" w:rsidRPr="00C127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16"/>
  </w:num>
  <w:num w:numId="2" w16cid:durableId="1685589679">
    <w:abstractNumId w:val="9"/>
  </w:num>
  <w:num w:numId="3" w16cid:durableId="429666376">
    <w:abstractNumId w:val="10"/>
  </w:num>
  <w:num w:numId="4" w16cid:durableId="226380773">
    <w:abstractNumId w:val="13"/>
  </w:num>
  <w:num w:numId="5" w16cid:durableId="188951204">
    <w:abstractNumId w:val="26"/>
  </w:num>
  <w:num w:numId="6" w16cid:durableId="940835991">
    <w:abstractNumId w:val="24"/>
  </w:num>
  <w:num w:numId="7" w16cid:durableId="976836930">
    <w:abstractNumId w:val="25"/>
  </w:num>
  <w:num w:numId="8" w16cid:durableId="2009358490">
    <w:abstractNumId w:val="11"/>
  </w:num>
  <w:num w:numId="9" w16cid:durableId="9281526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8"/>
  </w:num>
  <w:num w:numId="12" w16cid:durableId="393040861">
    <w:abstractNumId w:val="21"/>
  </w:num>
  <w:num w:numId="13" w16cid:durableId="116685617">
    <w:abstractNumId w:val="15"/>
  </w:num>
  <w:num w:numId="14" w16cid:durableId="1515726493">
    <w:abstractNumId w:val="0"/>
  </w:num>
  <w:num w:numId="15" w16cid:durableId="1731229665">
    <w:abstractNumId w:val="1"/>
  </w:num>
  <w:num w:numId="16" w16cid:durableId="1646813356">
    <w:abstractNumId w:val="7"/>
  </w:num>
  <w:num w:numId="17" w16cid:durableId="2019499066">
    <w:abstractNumId w:val="4"/>
  </w:num>
  <w:num w:numId="18" w16cid:durableId="1699038006">
    <w:abstractNumId w:val="12"/>
  </w:num>
  <w:num w:numId="19" w16cid:durableId="2132090680">
    <w:abstractNumId w:val="5"/>
  </w:num>
  <w:num w:numId="20" w16cid:durableId="2040934203">
    <w:abstractNumId w:val="17"/>
  </w:num>
  <w:num w:numId="21" w16cid:durableId="2606446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23"/>
  </w:num>
  <w:num w:numId="25" w16cid:durableId="43918403">
    <w:abstractNumId w:val="20"/>
  </w:num>
  <w:num w:numId="26" w16cid:durableId="2032951866">
    <w:abstractNumId w:val="19"/>
  </w:num>
  <w:num w:numId="27" w16cid:durableId="810052475">
    <w:abstractNumId w:val="22"/>
    <w:lvlOverride w:ilvl="0"/>
    <w:lvlOverride w:ilvl="1"/>
    <w:lvlOverride w:ilvl="2"/>
    <w:lvlOverride w:ilvl="3"/>
    <w:lvlOverride w:ilvl="4"/>
    <w:lvlOverride w:ilvl="5"/>
    <w:lvlOverride w:ilvl="6"/>
    <w:lvlOverride w:ilvl="7"/>
    <w:lvlOverride w:ilvl="8"/>
  </w:num>
  <w:num w:numId="28" w16cid:durableId="1731539411">
    <w:abstractNumId w:val="3"/>
    <w:lvlOverride w:ilvl="0"/>
    <w:lvlOverride w:ilvl="1"/>
    <w:lvlOverride w:ilvl="2"/>
    <w:lvlOverride w:ilvl="3"/>
    <w:lvlOverride w:ilvl="4"/>
    <w:lvlOverride w:ilvl="5"/>
    <w:lvlOverride w:ilvl="6"/>
    <w:lvlOverride w:ilvl="7"/>
    <w:lvlOverride w:ilvl="8"/>
  </w:num>
  <w:num w:numId="29" w16cid:durableId="1418757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56849"/>
    <w:rsid w:val="000E36E8"/>
    <w:rsid w:val="000F5169"/>
    <w:rsid w:val="00110FF1"/>
    <w:rsid w:val="00136B2D"/>
    <w:rsid w:val="001474E3"/>
    <w:rsid w:val="00164BF0"/>
    <w:rsid w:val="001708DA"/>
    <w:rsid w:val="00170E56"/>
    <w:rsid w:val="00174EDB"/>
    <w:rsid w:val="0017523E"/>
    <w:rsid w:val="00176E64"/>
    <w:rsid w:val="00192A4D"/>
    <w:rsid w:val="001B08DD"/>
    <w:rsid w:val="001B2522"/>
    <w:rsid w:val="001C0CFA"/>
    <w:rsid w:val="002002B8"/>
    <w:rsid w:val="002076D5"/>
    <w:rsid w:val="00213A90"/>
    <w:rsid w:val="0024684E"/>
    <w:rsid w:val="002A4319"/>
    <w:rsid w:val="002A6C09"/>
    <w:rsid w:val="002B307D"/>
    <w:rsid w:val="002C2072"/>
    <w:rsid w:val="002D22F0"/>
    <w:rsid w:val="00315C16"/>
    <w:rsid w:val="00335A97"/>
    <w:rsid w:val="00355B0A"/>
    <w:rsid w:val="00360C13"/>
    <w:rsid w:val="003626D8"/>
    <w:rsid w:val="00380B19"/>
    <w:rsid w:val="00380EC9"/>
    <w:rsid w:val="003B3773"/>
    <w:rsid w:val="003D763A"/>
    <w:rsid w:val="003E7716"/>
    <w:rsid w:val="0040337D"/>
    <w:rsid w:val="00461ABC"/>
    <w:rsid w:val="004623C4"/>
    <w:rsid w:val="00470E8B"/>
    <w:rsid w:val="004964D8"/>
    <w:rsid w:val="004A5F86"/>
    <w:rsid w:val="004C0EC3"/>
    <w:rsid w:val="004C2B7C"/>
    <w:rsid w:val="004F7A6A"/>
    <w:rsid w:val="0050452F"/>
    <w:rsid w:val="005056C8"/>
    <w:rsid w:val="00513F0D"/>
    <w:rsid w:val="00517376"/>
    <w:rsid w:val="005173F3"/>
    <w:rsid w:val="005925F6"/>
    <w:rsid w:val="005B069C"/>
    <w:rsid w:val="005B6751"/>
    <w:rsid w:val="005C35A9"/>
    <w:rsid w:val="005E7211"/>
    <w:rsid w:val="005F20E5"/>
    <w:rsid w:val="00645FBD"/>
    <w:rsid w:val="006A6B36"/>
    <w:rsid w:val="006A77D2"/>
    <w:rsid w:val="006B3BC5"/>
    <w:rsid w:val="006C0A79"/>
    <w:rsid w:val="00721048"/>
    <w:rsid w:val="007314AA"/>
    <w:rsid w:val="00751322"/>
    <w:rsid w:val="007A0FFA"/>
    <w:rsid w:val="008274A2"/>
    <w:rsid w:val="0084141B"/>
    <w:rsid w:val="00846D95"/>
    <w:rsid w:val="00847171"/>
    <w:rsid w:val="00856AC6"/>
    <w:rsid w:val="00861302"/>
    <w:rsid w:val="008D2456"/>
    <w:rsid w:val="008D3511"/>
    <w:rsid w:val="008D6BD3"/>
    <w:rsid w:val="00903238"/>
    <w:rsid w:val="009152D0"/>
    <w:rsid w:val="009624AE"/>
    <w:rsid w:val="0097747B"/>
    <w:rsid w:val="0099272D"/>
    <w:rsid w:val="009D618C"/>
    <w:rsid w:val="00A34A25"/>
    <w:rsid w:val="00A35EB2"/>
    <w:rsid w:val="00A47190"/>
    <w:rsid w:val="00A70919"/>
    <w:rsid w:val="00A712D2"/>
    <w:rsid w:val="00AC32E2"/>
    <w:rsid w:val="00AC64CE"/>
    <w:rsid w:val="00AC700A"/>
    <w:rsid w:val="00B065BF"/>
    <w:rsid w:val="00B35FA4"/>
    <w:rsid w:val="00B86D1B"/>
    <w:rsid w:val="00B94B12"/>
    <w:rsid w:val="00BC1DA5"/>
    <w:rsid w:val="00BE4953"/>
    <w:rsid w:val="00BF4050"/>
    <w:rsid w:val="00BF5938"/>
    <w:rsid w:val="00C036D7"/>
    <w:rsid w:val="00C04DD2"/>
    <w:rsid w:val="00C10DFB"/>
    <w:rsid w:val="00C12701"/>
    <w:rsid w:val="00C15CD5"/>
    <w:rsid w:val="00C34CC1"/>
    <w:rsid w:val="00C56C93"/>
    <w:rsid w:val="00C67F3F"/>
    <w:rsid w:val="00C72897"/>
    <w:rsid w:val="00C8140B"/>
    <w:rsid w:val="00CB0293"/>
    <w:rsid w:val="00CD7100"/>
    <w:rsid w:val="00D05A9B"/>
    <w:rsid w:val="00D20BEC"/>
    <w:rsid w:val="00D32332"/>
    <w:rsid w:val="00D461B3"/>
    <w:rsid w:val="00D47FF1"/>
    <w:rsid w:val="00D95CD7"/>
    <w:rsid w:val="00DA2B92"/>
    <w:rsid w:val="00DB19FC"/>
    <w:rsid w:val="00DB295A"/>
    <w:rsid w:val="00DE1610"/>
    <w:rsid w:val="00E03537"/>
    <w:rsid w:val="00E05D89"/>
    <w:rsid w:val="00E20AFC"/>
    <w:rsid w:val="00E26C3E"/>
    <w:rsid w:val="00E46139"/>
    <w:rsid w:val="00E72EA6"/>
    <w:rsid w:val="00E762C8"/>
    <w:rsid w:val="00E970ED"/>
    <w:rsid w:val="00EA309A"/>
    <w:rsid w:val="00EF4D7A"/>
    <w:rsid w:val="00F008CB"/>
    <w:rsid w:val="00F01420"/>
    <w:rsid w:val="00F048AD"/>
    <w:rsid w:val="00F2489D"/>
    <w:rsid w:val="00F45D9A"/>
    <w:rsid w:val="00F460DD"/>
    <w:rsid w:val="00F60303"/>
    <w:rsid w:val="00F65C6D"/>
    <w:rsid w:val="00F97A82"/>
    <w:rsid w:val="00FA5A27"/>
    <w:rsid w:val="00FB16C8"/>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jpg@01DCBAC6.6423C8F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3015</Words>
  <Characters>1720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17</cp:revision>
  <dcterms:created xsi:type="dcterms:W3CDTF">2026-03-16T10:27:00Z</dcterms:created>
  <dcterms:modified xsi:type="dcterms:W3CDTF">2026-03-23T11:40:00Z</dcterms:modified>
</cp:coreProperties>
</file>