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6.0 -->
  <w:body>
    <w:p w:rsidR="00A24A6B" w:rsidRPr="00D5053F" w:rsidP="003E7BBE" w14:paraId="744A97EF" w14:textId="77777777">
      <w:pPr>
        <w:spacing w:before="360"/>
        <w:jc w:val="center"/>
        <w:rPr>
          <w:sz w:val="17"/>
          <w:szCs w:val="17"/>
        </w:rPr>
      </w:pPr>
      <w:r>
        <w:rPr>
          <w:noProof/>
          <w:lang w:eastAsia="lv-LV"/>
        </w:rPr>
        <w:drawing>
          <wp:anchor distT="0" distB="0" distL="114300" distR="114300" simplePos="0" relativeHeight="251660288" behindDoc="1" locked="0" layoutInCell="1" allowOverlap="1">
            <wp:simplePos x="0" y="0"/>
            <wp:positionH relativeFrom="page">
              <wp:posOffset>1191260</wp:posOffset>
            </wp:positionH>
            <wp:positionV relativeFrom="page">
              <wp:posOffset>737870</wp:posOffset>
            </wp:positionV>
            <wp:extent cx="5668645" cy="1032510"/>
            <wp:effectExtent l="0" t="0" r="0" b="0"/>
            <wp:wrapSquare wrapText="bothSides"/>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68645" cy="1032510"/>
                    </a:xfrm>
                    <a:prstGeom prst="rect">
                      <a:avLst/>
                    </a:prstGeom>
                    <a:noFill/>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g">
            <w:drawing>
              <wp:anchor distT="0" distB="0" distL="114300" distR="114300" simplePos="0" relativeHeight="251658240" behindDoc="1" locked="0" layoutInCell="1" allowOverlap="1">
                <wp:simplePos x="0" y="0"/>
                <wp:positionH relativeFrom="page">
                  <wp:posOffset>1850390</wp:posOffset>
                </wp:positionH>
                <wp:positionV relativeFrom="page">
                  <wp:posOffset>1911350</wp:posOffset>
                </wp:positionV>
                <wp:extent cx="4397375" cy="1270"/>
                <wp:effectExtent l="0" t="0" r="3175" b="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1025" style="width:346.25pt;height:0.1pt;margin-top:150.5pt;margin-left:145.7pt;mso-position-horizontal-relative:page;mso-position-vertical-relative:page;position:absolute;z-index:-251657216" coordorigin="2915,2998" coordsize="6926,2">
                <v:shape id="Freeform 42" o:spid="_x0000_s1026"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r w:rsidRPr="00D5053F">
        <w:rPr>
          <w:color w:val="231F20"/>
          <w:sz w:val="17"/>
          <w:szCs w:val="17"/>
        </w:rPr>
        <w:t xml:space="preserve">Duntes iela 22, </w:t>
      </w:r>
      <w:r w:rsidR="0055269A">
        <w:rPr>
          <w:color w:val="231F20"/>
          <w:sz w:val="17"/>
          <w:szCs w:val="17"/>
        </w:rPr>
        <w:t xml:space="preserve">K-5, </w:t>
      </w:r>
      <w:r w:rsidRPr="00D5053F">
        <w:rPr>
          <w:color w:val="231F20"/>
          <w:sz w:val="17"/>
          <w:szCs w:val="17"/>
        </w:rPr>
        <w:t xml:space="preserve">Rīga, LV-1005, tālr. 67501590, fakss 67501591, e-pasts </w:t>
      </w:r>
      <w:r w:rsidR="0055269A">
        <w:rPr>
          <w:color w:val="231F20"/>
          <w:sz w:val="17"/>
          <w:szCs w:val="17"/>
        </w:rPr>
        <w:t>pasts</w:t>
      </w:r>
      <w:r w:rsidRPr="00D5053F">
        <w:rPr>
          <w:color w:val="231F20"/>
          <w:sz w:val="17"/>
          <w:szCs w:val="17"/>
        </w:rPr>
        <w:t>@spkc.gov.lv</w:t>
      </w:r>
    </w:p>
    <w:p w:rsidR="00E46A48" w:rsidP="00E46A48" w14:paraId="6CB3AD86" w14:textId="77777777">
      <w:pPr>
        <w:pStyle w:val="Header"/>
        <w:tabs>
          <w:tab w:val="clear" w:pos="4320"/>
        </w:tabs>
        <w:spacing w:before="480" w:after="480"/>
        <w:jc w:val="center"/>
        <w:rPr>
          <w:rFonts w:ascii="Times New Roman" w:hAnsi="Times New Roman"/>
          <w:noProof/>
        </w:rPr>
      </w:pPr>
      <w:r w:rsidRPr="001F3DE1">
        <w:rPr>
          <w:rFonts w:ascii="Times New Roman" w:hAnsi="Times New Roman"/>
          <w:noProof/>
        </w:rPr>
        <w:t>Rīgā</w:t>
      </w:r>
      <w:r>
        <w:rPr>
          <w:rFonts w:ascii="Times New Roman" w:hAnsi="Times New Roman"/>
          <w:noProof/>
        </w:rPr>
        <w:t xml:space="preserve"> </w:t>
      </w:r>
    </w:p>
    <w:tbl>
      <w:tblPr>
        <w:tblW w:w="0" w:type="auto"/>
        <w:tblLook w:val="04A0"/>
      </w:tblPr>
      <w:tblGrid>
        <w:gridCol w:w="5434"/>
        <w:gridCol w:w="3637"/>
      </w:tblGrid>
      <w:tr w14:paraId="01FA7614" w14:textId="77777777" w:rsidTr="00C5711F">
        <w:tblPrEx>
          <w:tblW w:w="0" w:type="auto"/>
          <w:tblLook w:val="04A0"/>
        </w:tblPrEx>
        <w:trPr>
          <w:trHeight w:val="313"/>
        </w:trPr>
        <w:tc>
          <w:tcPr>
            <w:tcW w:w="5495" w:type="dxa"/>
          </w:tcPr>
          <w:p w:rsidR="00222B8B" w:rsidP="00222B8B" w14:paraId="4414D7B4" w14:textId="7CAB3D38">
            <w:pPr>
              <w:tabs>
                <w:tab w:val="left" w:pos="0"/>
                <w:tab w:val="left" w:pos="7371"/>
              </w:tabs>
              <w:rPr>
                <w:sz w:val="24"/>
                <w:szCs w:val="24"/>
              </w:rPr>
            </w:pPr>
            <w:r>
              <w:rPr>
                <w:noProof/>
              </w:rPr>
              <w:t>Datums skatāms laika zīmogā</w:t>
            </w:r>
            <w:r>
              <w:rPr>
                <w:sz w:val="24"/>
                <w:szCs w:val="24"/>
              </w:rPr>
              <w:t xml:space="preserve">. </w:t>
            </w:r>
            <w:r w:rsidRPr="00CB2202">
              <w:rPr>
                <w:sz w:val="24"/>
                <w:szCs w:val="24"/>
              </w:rPr>
              <w:t>Nr.</w:t>
            </w:r>
            <w:r>
              <w:rPr>
                <w:sz w:val="24"/>
                <w:szCs w:val="24"/>
              </w:rPr>
              <w:t xml:space="preserve"> </w:t>
            </w:r>
            <w:r>
              <w:rPr>
                <w:noProof/>
                <w:sz w:val="24"/>
                <w:szCs w:val="24"/>
              </w:rPr>
              <w:t>1-8.2/2026/856</w:t>
            </w:r>
          </w:p>
          <w:p w:rsidR="002079F2" w:rsidRPr="00CB2202" w:rsidP="00222B8B" w14:paraId="6EA3EF20" w14:textId="2DA06573">
            <w:pPr>
              <w:tabs>
                <w:tab w:val="left" w:pos="0"/>
                <w:tab w:val="left" w:pos="7371"/>
              </w:tabs>
              <w:rPr>
                <w:sz w:val="24"/>
                <w:szCs w:val="24"/>
              </w:rPr>
            </w:pPr>
          </w:p>
        </w:tc>
        <w:tc>
          <w:tcPr>
            <w:tcW w:w="3685" w:type="dxa"/>
          </w:tcPr>
          <w:p w:rsidR="007C223A" w:rsidP="00222B8B" w14:paraId="334740F6" w14:textId="77777777">
            <w:pPr>
              <w:tabs>
                <w:tab w:val="left" w:pos="0"/>
                <w:tab w:val="left" w:pos="7371"/>
              </w:tabs>
              <w:rPr>
                <w:noProof/>
                <w:sz w:val="24"/>
                <w:szCs w:val="24"/>
              </w:rPr>
            </w:pPr>
            <w:r>
              <w:rPr>
                <w:noProof/>
                <w:sz w:val="24"/>
                <w:szCs w:val="24"/>
              </w:rPr>
              <w:t>"Latvijas Lauku ģimenes ārstu asociācija"</w:t>
            </w:r>
          </w:p>
          <w:p w:rsidR="00AF799F" w:rsidP="00222B8B" w14:paraId="44E59726" w14:textId="77777777">
            <w:pPr>
              <w:tabs>
                <w:tab w:val="left" w:pos="0"/>
                <w:tab w:val="left" w:pos="7371"/>
              </w:tabs>
              <w:rPr>
                <w:noProof/>
                <w:sz w:val="24"/>
                <w:szCs w:val="24"/>
              </w:rPr>
            </w:pPr>
          </w:p>
          <w:p w:rsidR="007C223A" w:rsidP="00222B8B" w14:paraId="35EC3EEA" w14:textId="0DCB220A">
            <w:pPr>
              <w:tabs>
                <w:tab w:val="left" w:pos="0"/>
                <w:tab w:val="left" w:pos="7371"/>
              </w:tabs>
              <w:rPr>
                <w:noProof/>
                <w:sz w:val="24"/>
                <w:szCs w:val="24"/>
              </w:rPr>
            </w:pPr>
            <w:r>
              <w:rPr>
                <w:noProof/>
                <w:sz w:val="24"/>
                <w:szCs w:val="24"/>
              </w:rPr>
              <w:t>Latvijas Ģimenes ārstu asociācija</w:t>
            </w:r>
          </w:p>
          <w:p w:rsidR="007C223A" w:rsidP="00222B8B" w14:paraId="18D39AAE" w14:textId="77777777">
            <w:pPr>
              <w:tabs>
                <w:tab w:val="left" w:pos="0"/>
                <w:tab w:val="left" w:pos="7371"/>
              </w:tabs>
              <w:rPr>
                <w:noProof/>
                <w:sz w:val="24"/>
                <w:szCs w:val="24"/>
              </w:rPr>
            </w:pPr>
          </w:p>
          <w:p w:rsidR="00AF799F" w:rsidRPr="00AF799F" w:rsidP="00AF799F" w14:paraId="73FD7134" w14:textId="2414ED22">
            <w:pPr>
              <w:tabs>
                <w:tab w:val="left" w:pos="0"/>
                <w:tab w:val="left" w:pos="7371"/>
              </w:tabs>
              <w:rPr>
                <w:i/>
                <w:iCs/>
                <w:noProof/>
                <w:sz w:val="24"/>
                <w:szCs w:val="24"/>
              </w:rPr>
            </w:pPr>
            <w:r w:rsidRPr="00AF799F">
              <w:rPr>
                <w:i/>
                <w:iCs/>
                <w:noProof/>
                <w:sz w:val="24"/>
                <w:szCs w:val="24"/>
              </w:rPr>
              <w:t>Informācijai:</w:t>
            </w:r>
          </w:p>
          <w:p w:rsidR="007C223A" w:rsidP="00222B8B" w14:paraId="54C73A58" w14:textId="36E46B84">
            <w:pPr>
              <w:tabs>
                <w:tab w:val="left" w:pos="0"/>
                <w:tab w:val="left" w:pos="7371"/>
              </w:tabs>
              <w:rPr>
                <w:noProof/>
                <w:sz w:val="24"/>
                <w:szCs w:val="24"/>
              </w:rPr>
            </w:pPr>
            <w:r>
              <w:rPr>
                <w:noProof/>
                <w:sz w:val="24"/>
                <w:szCs w:val="24"/>
              </w:rPr>
              <w:t>Latvijas Republikas Veselības ministrija</w:t>
            </w:r>
          </w:p>
          <w:p w:rsidR="00AF799F" w:rsidP="00222B8B" w14:paraId="05338228" w14:textId="77777777">
            <w:pPr>
              <w:tabs>
                <w:tab w:val="left" w:pos="0"/>
                <w:tab w:val="left" w:pos="7371"/>
              </w:tabs>
              <w:rPr>
                <w:noProof/>
                <w:sz w:val="24"/>
                <w:szCs w:val="24"/>
              </w:rPr>
            </w:pPr>
          </w:p>
          <w:p w:rsidR="002079F2" w:rsidP="00222B8B" w14:paraId="57B97CED" w14:textId="7D60AE7C">
            <w:pPr>
              <w:tabs>
                <w:tab w:val="left" w:pos="0"/>
                <w:tab w:val="left" w:pos="7371"/>
              </w:tabs>
              <w:rPr>
                <w:sz w:val="24"/>
                <w:szCs w:val="24"/>
              </w:rPr>
            </w:pPr>
            <w:r>
              <w:rPr>
                <w:noProof/>
                <w:sz w:val="24"/>
                <w:szCs w:val="24"/>
              </w:rPr>
              <w:t>Nacionālais veselības dienests</w:t>
            </w:r>
          </w:p>
        </w:tc>
      </w:tr>
    </w:tbl>
    <w:p w:rsidR="002079F2" w:rsidRPr="00195A3A" w:rsidP="00CF29EA" w14:paraId="009098EA" w14:textId="77777777">
      <w:pPr>
        <w:pStyle w:val="Header"/>
        <w:tabs>
          <w:tab w:val="clear" w:pos="4320"/>
          <w:tab w:val="clear" w:pos="8640"/>
        </w:tabs>
        <w:spacing w:before="480" w:after="480"/>
        <w:ind w:right="4320"/>
        <w:jc w:val="both"/>
        <w:rPr>
          <w:rFonts w:ascii="Times New Roman" w:hAnsi="Times New Roman"/>
          <w:b/>
          <w:i/>
          <w:noProof/>
        </w:rPr>
      </w:pPr>
      <w:r>
        <w:rPr>
          <w:rFonts w:ascii="Times New Roman" w:hAnsi="Times New Roman"/>
          <w:b/>
          <w:i/>
          <w:noProof/>
        </w:rPr>
        <w:t>Par vakcinācijas pret CPV infekciju veicināšanu</w:t>
      </w:r>
    </w:p>
    <w:p w:rsidR="007C223A" w:rsidRPr="007C223A" w:rsidP="007C223A" w14:paraId="4D5C9D8E" w14:textId="77777777">
      <w:pPr>
        <w:ind w:firstLine="360"/>
        <w:jc w:val="both"/>
        <w:rPr>
          <w:sz w:val="24"/>
          <w:szCs w:val="24"/>
        </w:rPr>
      </w:pPr>
      <w:r w:rsidRPr="007C223A">
        <w:rPr>
          <w:sz w:val="24"/>
          <w:szCs w:val="24"/>
        </w:rPr>
        <w:t xml:space="preserve">Slimību profilakses un kontroles centrs (turpmāk – Centrs) ir veicis detalizētu vakcinācijas pret cilvēka </w:t>
      </w:r>
      <w:r w:rsidRPr="007C223A">
        <w:rPr>
          <w:sz w:val="24"/>
          <w:szCs w:val="24"/>
        </w:rPr>
        <w:t>papilomas</w:t>
      </w:r>
      <w:r w:rsidRPr="007C223A">
        <w:rPr>
          <w:sz w:val="24"/>
          <w:szCs w:val="24"/>
        </w:rPr>
        <w:t xml:space="preserve"> vīrusa (CPV) infekciju aptveres datu analīzi ģimenes ārstu prakšu griezumā un dalās ar iegūtajiem rezultātiem, lai aktualizētu vakcinācijas nozīmi.</w:t>
      </w:r>
    </w:p>
    <w:p w:rsidR="007C223A" w:rsidRPr="007C223A" w:rsidP="007C223A" w14:paraId="75152ACC" w14:textId="6EA15A29">
      <w:pPr>
        <w:ind w:firstLine="360"/>
        <w:jc w:val="both"/>
        <w:rPr>
          <w:sz w:val="24"/>
          <w:szCs w:val="24"/>
        </w:rPr>
      </w:pPr>
      <w:r w:rsidRPr="007C223A">
        <w:rPr>
          <w:sz w:val="24"/>
          <w:szCs w:val="24"/>
        </w:rPr>
        <w:t xml:space="preserve">Latvijā vakcinācija pret CPV infekciju tika ieviesta 2010. gadā, sākotnēji nodrošinot valsts apmaksātu vakcināciju meitenēm noteiktās vecuma grupās, un vēlāk tā tika paplašināta: kopš 2022. gada valsts apmaksāta vakcinācija pieejama arī zēniem, bet no 2025. gada </w:t>
      </w:r>
      <w:r w:rsidRPr="007C223A" w:rsidR="00AF799F">
        <w:rPr>
          <w:sz w:val="24"/>
          <w:szCs w:val="24"/>
        </w:rPr>
        <w:t>–</w:t>
      </w:r>
      <w:r w:rsidRPr="007C223A">
        <w:rPr>
          <w:sz w:val="24"/>
          <w:szCs w:val="24"/>
        </w:rPr>
        <w:t xml:space="preserve"> arī jauniešiem līdz 25 gadu vecumam un atsevišķām pieaugušo riska grupām.</w:t>
      </w:r>
    </w:p>
    <w:p w:rsidR="007C223A" w:rsidRPr="007C223A" w:rsidP="007C223A" w14:paraId="4817C89F" w14:textId="77777777">
      <w:pPr>
        <w:ind w:firstLine="360"/>
        <w:jc w:val="both"/>
        <w:rPr>
          <w:sz w:val="24"/>
          <w:szCs w:val="24"/>
        </w:rPr>
      </w:pPr>
      <w:r w:rsidRPr="007C223A">
        <w:rPr>
          <w:sz w:val="24"/>
          <w:szCs w:val="24"/>
        </w:rPr>
        <w:t>Neraugoties uz vakcinācijas pieejamību un intensīvu iedzīvotāju informēšanu, vakcinācijas aptvere pret CPV infekciju Latvijā 15 gadu laikā būtiski nav mainījusies un joprojām ir salīdzinoši zema. 2025. gadā vakcinēto 12 gadus veco meiteņu īpatsvars 1. devai bija 50,1%, bet zēnu – 42,8% (skatīt 1. un 2. grafiku).</w:t>
      </w:r>
    </w:p>
    <w:p w:rsidR="007C223A" w:rsidRPr="007C223A" w:rsidP="007C223A" w14:paraId="537866FC" w14:textId="77777777">
      <w:pPr>
        <w:jc w:val="both"/>
        <w:rPr>
          <w:sz w:val="24"/>
          <w:szCs w:val="24"/>
        </w:rPr>
      </w:pPr>
    </w:p>
    <w:p w:rsidR="007C223A" w:rsidRPr="007C223A" w14:paraId="23BC251F" w14:textId="77777777">
      <w:pPr>
        <w:rPr>
          <w:sz w:val="24"/>
          <w:szCs w:val="24"/>
        </w:rPr>
      </w:pPr>
      <w:r w:rsidRPr="007C223A">
        <w:rPr>
          <w:sz w:val="24"/>
          <w:szCs w:val="24"/>
        </w:rPr>
        <w:br w:type="page"/>
      </w:r>
    </w:p>
    <w:p w:rsidR="007C223A" w:rsidRPr="007C223A" w:rsidP="007C223A" w14:paraId="4D13A89D" w14:textId="43801541">
      <w:pPr>
        <w:jc w:val="both"/>
        <w:rPr>
          <w:sz w:val="24"/>
          <w:szCs w:val="24"/>
        </w:rPr>
      </w:pPr>
      <w:r w:rsidRPr="007C223A">
        <w:rPr>
          <w:sz w:val="24"/>
          <w:szCs w:val="24"/>
        </w:rPr>
        <w:t>1. grafiks. Pret CPV infekciju vakcinēto meiteņu īpatsvars 12 gadu vecumā</w:t>
      </w:r>
    </w:p>
    <w:p w:rsidR="007C223A" w:rsidRPr="007C223A" w:rsidP="007C223A" w14:paraId="06386B6D" w14:textId="77777777">
      <w:pPr>
        <w:jc w:val="both"/>
        <w:rPr>
          <w:sz w:val="24"/>
          <w:szCs w:val="24"/>
        </w:rPr>
      </w:pPr>
      <w:r w:rsidRPr="007C223A">
        <w:rPr>
          <w:noProof/>
          <w:sz w:val="24"/>
          <w:szCs w:val="24"/>
        </w:rPr>
        <w:drawing>
          <wp:inline distT="0" distB="0" distL="0" distR="0">
            <wp:extent cx="5382883" cy="3587048"/>
            <wp:effectExtent l="0" t="0" r="8890" b="0"/>
            <wp:docPr id="1801934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934320" name="Picture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34276" cy="3621295"/>
                    </a:xfrm>
                    <a:prstGeom prst="rect">
                      <a:avLst/>
                    </a:prstGeom>
                    <a:noFill/>
                  </pic:spPr>
                </pic:pic>
              </a:graphicData>
            </a:graphic>
          </wp:inline>
        </w:drawing>
      </w:r>
    </w:p>
    <w:p w:rsidR="007C223A" w:rsidRPr="007C223A" w:rsidP="007C223A" w14:paraId="3D7DE6A6" w14:textId="03E8ED2F">
      <w:pPr>
        <w:rPr>
          <w:sz w:val="24"/>
          <w:szCs w:val="24"/>
        </w:rPr>
      </w:pPr>
    </w:p>
    <w:p w:rsidR="007C223A" w:rsidRPr="007C223A" w:rsidP="007C223A" w14:paraId="22065509" w14:textId="5FF91F9F">
      <w:pPr>
        <w:jc w:val="both"/>
        <w:rPr>
          <w:sz w:val="24"/>
          <w:szCs w:val="24"/>
        </w:rPr>
      </w:pPr>
      <w:r w:rsidRPr="007C223A">
        <w:rPr>
          <w:sz w:val="24"/>
          <w:szCs w:val="24"/>
        </w:rPr>
        <w:t>2. grafiks. Pret CPV infekciju vakcinēto zēnu īpatsvars 12 gadu vecumā</w:t>
      </w:r>
    </w:p>
    <w:p w:rsidR="007C223A" w:rsidRPr="007C223A" w:rsidP="007C223A" w14:paraId="67F8EEDE" w14:textId="77777777">
      <w:pPr>
        <w:jc w:val="both"/>
        <w:rPr>
          <w:sz w:val="24"/>
          <w:szCs w:val="24"/>
        </w:rPr>
      </w:pPr>
      <w:r w:rsidRPr="007C223A">
        <w:rPr>
          <w:noProof/>
          <w:sz w:val="24"/>
          <w:szCs w:val="24"/>
        </w:rPr>
        <w:drawing>
          <wp:inline distT="0" distB="0" distL="0" distR="0">
            <wp:extent cx="5460521" cy="3610045"/>
            <wp:effectExtent l="0" t="0" r="6985" b="0"/>
            <wp:docPr id="7692635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63533" name="Picture 3"/>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rot="10800000" flipH="1" flipV="1">
                      <a:off x="0" y="0"/>
                      <a:ext cx="5516967" cy="3647362"/>
                    </a:xfrm>
                    <a:prstGeom prst="rect">
                      <a:avLst/>
                    </a:prstGeom>
                    <a:noFill/>
                  </pic:spPr>
                </pic:pic>
              </a:graphicData>
            </a:graphic>
          </wp:inline>
        </w:drawing>
      </w:r>
    </w:p>
    <w:p w:rsidR="007C223A" w:rsidRPr="007C223A" w:rsidP="007C223A" w14:paraId="53F0A81E" w14:textId="77777777">
      <w:pPr>
        <w:jc w:val="both"/>
        <w:rPr>
          <w:sz w:val="24"/>
          <w:szCs w:val="24"/>
        </w:rPr>
      </w:pPr>
    </w:p>
    <w:p w:rsidR="007C223A" w:rsidRPr="007C223A" w:rsidP="007C223A" w14:paraId="526E6F33" w14:textId="77777777">
      <w:pPr>
        <w:jc w:val="both"/>
        <w:rPr>
          <w:sz w:val="24"/>
          <w:szCs w:val="24"/>
        </w:rPr>
      </w:pPr>
    </w:p>
    <w:p w:rsidR="007C223A" w:rsidRPr="007C223A" w:rsidP="007C223A" w14:paraId="71ACCB5F" w14:textId="77777777">
      <w:pPr>
        <w:ind w:firstLine="360"/>
        <w:jc w:val="both"/>
        <w:rPr>
          <w:sz w:val="24"/>
          <w:szCs w:val="24"/>
        </w:rPr>
      </w:pPr>
      <w:r w:rsidRPr="007C223A">
        <w:rPr>
          <w:sz w:val="24"/>
          <w:szCs w:val="24"/>
        </w:rPr>
        <w:t>Augstākā vakcinācijas aptvere 2025. gadā 1. devai reģionāli bija Zemgalē (meitenēm 68,1%, zēniem 56,5%). Zemākā vakcinācijas aptvere konstatēta Rīgā (meitenēm 42,3%, zēniem 35,7%).</w:t>
      </w:r>
    </w:p>
    <w:p w:rsidR="007C223A" w:rsidRPr="007C223A" w14:paraId="748921A2" w14:textId="77777777">
      <w:pPr>
        <w:rPr>
          <w:sz w:val="24"/>
          <w:szCs w:val="24"/>
        </w:rPr>
      </w:pPr>
      <w:r w:rsidRPr="007C223A">
        <w:rPr>
          <w:sz w:val="24"/>
          <w:szCs w:val="24"/>
        </w:rPr>
        <w:br w:type="page"/>
      </w:r>
    </w:p>
    <w:p w:rsidR="007C223A" w:rsidRPr="007C223A" w:rsidP="007C223A" w14:paraId="0D02DF2B" w14:textId="01D21C02">
      <w:pPr>
        <w:ind w:firstLine="360"/>
        <w:jc w:val="both"/>
        <w:rPr>
          <w:sz w:val="24"/>
          <w:szCs w:val="24"/>
        </w:rPr>
      </w:pPr>
      <w:r w:rsidRPr="007C223A">
        <w:rPr>
          <w:sz w:val="24"/>
          <w:szCs w:val="24"/>
        </w:rPr>
        <w:t>Papildu minētajai analīzei, veicot Vienotās veselības nozares elektroniskās informācijas sistēmā (E-veselības sistēma) reģistrēto vakcinācijas faktu pret CPV infekciju padziļinātu analīzi</w:t>
      </w:r>
      <w:r>
        <w:rPr>
          <w:rStyle w:val="FootnoteReference"/>
          <w:sz w:val="24"/>
          <w:szCs w:val="24"/>
        </w:rPr>
        <w:footnoteReference w:id="2"/>
      </w:r>
      <w:r w:rsidRPr="007C223A">
        <w:rPr>
          <w:sz w:val="24"/>
          <w:szCs w:val="24"/>
        </w:rPr>
        <w:t xml:space="preserve"> ģimenes ārstu prakšu griezumā, Centrs ir konstatējis šādus faktus:</w:t>
      </w:r>
    </w:p>
    <w:p w:rsidR="007C223A" w:rsidRPr="007C223A" w:rsidP="007C223A" w14:paraId="42383E93" w14:textId="77777777">
      <w:pPr>
        <w:pStyle w:val="ListParagraph"/>
        <w:numPr>
          <w:ilvl w:val="0"/>
          <w:numId w:val="4"/>
        </w:numPr>
        <w:spacing w:after="0" w:line="278" w:lineRule="auto"/>
        <w:jc w:val="both"/>
        <w:rPr>
          <w:rFonts w:ascii="Times New Roman" w:hAnsi="Times New Roman"/>
          <w:sz w:val="24"/>
          <w:szCs w:val="24"/>
        </w:rPr>
      </w:pPr>
      <w:r w:rsidRPr="007C223A">
        <w:rPr>
          <w:rFonts w:ascii="Times New Roman" w:hAnsi="Times New Roman"/>
          <w:sz w:val="24"/>
          <w:szCs w:val="24"/>
        </w:rPr>
        <w:t>1’082 ģimenes ārstu praksēs uz 10.02.2026 bija reģistrēti 30’857 pacienti analizētajās vecuma grupās;</w:t>
      </w:r>
    </w:p>
    <w:p w:rsidR="007C223A" w:rsidRPr="007C223A" w:rsidP="007C223A" w14:paraId="02C571F6" w14:textId="77777777">
      <w:pPr>
        <w:pStyle w:val="ListParagraph"/>
        <w:numPr>
          <w:ilvl w:val="0"/>
          <w:numId w:val="4"/>
        </w:numPr>
        <w:spacing w:after="0" w:line="278" w:lineRule="auto"/>
        <w:jc w:val="both"/>
        <w:rPr>
          <w:rFonts w:ascii="Times New Roman" w:hAnsi="Times New Roman"/>
          <w:sz w:val="24"/>
          <w:szCs w:val="24"/>
        </w:rPr>
      </w:pPr>
      <w:r w:rsidRPr="007C223A">
        <w:rPr>
          <w:rFonts w:ascii="Times New Roman" w:hAnsi="Times New Roman"/>
          <w:sz w:val="24"/>
          <w:szCs w:val="24"/>
        </w:rPr>
        <w:t>no tiem 12’483 (40,45%) pacienti ir vakcinēti atbilstoši aprakstītajiem nosacījumiem;</w:t>
      </w:r>
    </w:p>
    <w:p w:rsidR="007C223A" w:rsidRPr="007C223A" w:rsidP="007C223A" w14:paraId="6BB194B3" w14:textId="77777777">
      <w:pPr>
        <w:pStyle w:val="ListParagraph"/>
        <w:numPr>
          <w:ilvl w:val="0"/>
          <w:numId w:val="4"/>
        </w:numPr>
        <w:spacing w:after="0" w:line="278" w:lineRule="auto"/>
        <w:jc w:val="both"/>
        <w:rPr>
          <w:rFonts w:ascii="Times New Roman" w:hAnsi="Times New Roman"/>
          <w:sz w:val="24"/>
          <w:szCs w:val="24"/>
        </w:rPr>
      </w:pPr>
      <w:r w:rsidRPr="007C223A">
        <w:rPr>
          <w:rFonts w:ascii="Times New Roman" w:hAnsi="Times New Roman"/>
          <w:sz w:val="24"/>
          <w:szCs w:val="24"/>
        </w:rPr>
        <w:t>2’290 (7,42%) pacienti ir vakcinēti, bet ne atbilstoši aprakstītajiem nosacījumiem;</w:t>
      </w:r>
    </w:p>
    <w:p w:rsidR="007C223A" w:rsidRPr="007C223A" w:rsidP="007C223A" w14:paraId="16A288EC" w14:textId="77777777">
      <w:pPr>
        <w:pStyle w:val="ListParagraph"/>
        <w:numPr>
          <w:ilvl w:val="0"/>
          <w:numId w:val="4"/>
        </w:numPr>
        <w:spacing w:after="0" w:line="278" w:lineRule="auto"/>
        <w:jc w:val="both"/>
        <w:rPr>
          <w:rFonts w:ascii="Times New Roman" w:hAnsi="Times New Roman"/>
          <w:sz w:val="24"/>
          <w:szCs w:val="24"/>
        </w:rPr>
      </w:pPr>
      <w:r w:rsidRPr="007C223A">
        <w:rPr>
          <w:rFonts w:ascii="Times New Roman" w:hAnsi="Times New Roman"/>
          <w:sz w:val="24"/>
          <w:szCs w:val="24"/>
        </w:rPr>
        <w:t>16’084 (52,12%) pacienti nav vakcinēti.</w:t>
      </w:r>
    </w:p>
    <w:p w:rsidR="007C223A" w:rsidRPr="007C223A" w:rsidP="007C223A" w14:paraId="746B93E2" w14:textId="77777777">
      <w:pPr>
        <w:jc w:val="both"/>
        <w:rPr>
          <w:sz w:val="24"/>
          <w:szCs w:val="24"/>
        </w:rPr>
      </w:pPr>
    </w:p>
    <w:p w:rsidR="007C223A" w:rsidRPr="007C223A" w:rsidP="007C223A" w14:paraId="5E15303F" w14:textId="77777777">
      <w:pPr>
        <w:ind w:firstLine="720"/>
        <w:jc w:val="both"/>
        <w:rPr>
          <w:sz w:val="24"/>
          <w:szCs w:val="24"/>
        </w:rPr>
      </w:pPr>
      <w:r w:rsidRPr="007C223A">
        <w:rPr>
          <w:sz w:val="24"/>
          <w:szCs w:val="24"/>
        </w:rPr>
        <w:t>Centrs apkopoja vakcinācijas aptveri pa reģioniem atbilstoši norādītajai ģimenes ārsta prakses vietai, un rezultāti ir apkopoti tabulā:</w:t>
      </w:r>
    </w:p>
    <w:tbl>
      <w:tblPr>
        <w:tblStyle w:val="TableGrid"/>
        <w:tblW w:w="8784" w:type="dxa"/>
        <w:tblLook w:val="04A0"/>
      </w:tblPr>
      <w:tblGrid>
        <w:gridCol w:w="1695"/>
        <w:gridCol w:w="1951"/>
        <w:gridCol w:w="2768"/>
        <w:gridCol w:w="2370"/>
      </w:tblGrid>
      <w:tr w14:paraId="70857806" w14:textId="77777777" w:rsidTr="00B51CA8">
        <w:tblPrEx>
          <w:tblW w:w="8784" w:type="dxa"/>
          <w:tblLook w:val="04A0"/>
        </w:tblPrEx>
        <w:trPr>
          <w:trHeight w:val="924"/>
        </w:trPr>
        <w:tc>
          <w:tcPr>
            <w:tcW w:w="1695" w:type="dxa"/>
          </w:tcPr>
          <w:p w:rsidR="007C223A" w:rsidRPr="007C223A" w:rsidP="00B51CA8" w14:paraId="6DE8D77F" w14:textId="77777777">
            <w:pPr>
              <w:jc w:val="both"/>
              <w:rPr>
                <w:sz w:val="24"/>
                <w:szCs w:val="24"/>
                <w:lang w:eastAsia="lv-LV"/>
              </w:rPr>
            </w:pPr>
            <w:r w:rsidRPr="007C223A">
              <w:rPr>
                <w:sz w:val="24"/>
                <w:szCs w:val="24"/>
                <w:lang w:eastAsia="lv-LV"/>
              </w:rPr>
              <w:t>Reģions</w:t>
            </w:r>
          </w:p>
        </w:tc>
        <w:tc>
          <w:tcPr>
            <w:tcW w:w="1951" w:type="dxa"/>
          </w:tcPr>
          <w:p w:rsidR="007C223A" w:rsidRPr="007C223A" w:rsidP="00B51CA8" w14:paraId="18A01195" w14:textId="77777777">
            <w:pPr>
              <w:jc w:val="center"/>
              <w:rPr>
                <w:sz w:val="24"/>
                <w:szCs w:val="24"/>
                <w:lang w:eastAsia="lv-LV"/>
              </w:rPr>
            </w:pPr>
            <w:r w:rsidRPr="007C223A">
              <w:rPr>
                <w:sz w:val="24"/>
                <w:szCs w:val="24"/>
                <w:lang w:eastAsia="lv-LV"/>
              </w:rPr>
              <w:t>Kopā pacienti attiecīgajā vecuma grupā</w:t>
            </w:r>
          </w:p>
        </w:tc>
        <w:tc>
          <w:tcPr>
            <w:tcW w:w="2768" w:type="dxa"/>
          </w:tcPr>
          <w:p w:rsidR="007C223A" w:rsidRPr="007C223A" w:rsidP="00B51CA8" w14:paraId="4FCF5114" w14:textId="77777777">
            <w:pPr>
              <w:jc w:val="center"/>
              <w:rPr>
                <w:sz w:val="24"/>
                <w:szCs w:val="24"/>
                <w:lang w:eastAsia="lv-LV"/>
              </w:rPr>
            </w:pPr>
            <w:r w:rsidRPr="007C223A">
              <w:rPr>
                <w:sz w:val="24"/>
                <w:szCs w:val="24"/>
                <w:lang w:eastAsia="lv-LV"/>
              </w:rPr>
              <w:t>Vakcinēti atbilstoši iepriekš aprakstītajiem nosacījumiem</w:t>
            </w:r>
          </w:p>
        </w:tc>
        <w:tc>
          <w:tcPr>
            <w:tcW w:w="2370" w:type="dxa"/>
          </w:tcPr>
          <w:p w:rsidR="007C223A" w:rsidRPr="007C223A" w:rsidP="00B51CA8" w14:paraId="5F663ED6" w14:textId="77777777">
            <w:pPr>
              <w:jc w:val="center"/>
              <w:rPr>
                <w:sz w:val="24"/>
                <w:szCs w:val="24"/>
                <w:lang w:eastAsia="lv-LV"/>
              </w:rPr>
            </w:pPr>
            <w:r w:rsidRPr="007C223A">
              <w:rPr>
                <w:sz w:val="24"/>
                <w:szCs w:val="24"/>
                <w:lang w:eastAsia="lv-LV"/>
              </w:rPr>
              <w:t>Procentuāli no kopējā pacientu skaita vecuma grupā</w:t>
            </w:r>
          </w:p>
        </w:tc>
      </w:tr>
      <w:tr w14:paraId="62F001F9" w14:textId="77777777" w:rsidTr="00B51CA8">
        <w:tblPrEx>
          <w:tblW w:w="8784" w:type="dxa"/>
          <w:tblLook w:val="04A0"/>
        </w:tblPrEx>
        <w:trPr>
          <w:trHeight w:val="290"/>
        </w:trPr>
        <w:tc>
          <w:tcPr>
            <w:tcW w:w="1695" w:type="dxa"/>
          </w:tcPr>
          <w:p w:rsidR="007C223A" w:rsidRPr="007C223A" w:rsidP="00B51CA8" w14:paraId="4B5A67AE" w14:textId="455FA0B0">
            <w:pPr>
              <w:jc w:val="both"/>
              <w:rPr>
                <w:color w:val="000000" w:themeColor="text1"/>
                <w:sz w:val="24"/>
                <w:szCs w:val="24"/>
                <w:lang w:eastAsia="lv-LV"/>
              </w:rPr>
            </w:pPr>
            <w:r w:rsidRPr="007C223A">
              <w:rPr>
                <w:color w:val="000000" w:themeColor="text1"/>
                <w:sz w:val="24"/>
                <w:szCs w:val="24"/>
                <w:lang w:eastAsia="lv-LV"/>
              </w:rPr>
              <w:t>Vidzeme</w:t>
            </w:r>
            <w:r w:rsidR="00AF799F">
              <w:rPr>
                <w:color w:val="000000" w:themeColor="text1"/>
                <w:sz w:val="24"/>
                <w:szCs w:val="24"/>
                <w:lang w:eastAsia="lv-LV"/>
              </w:rPr>
              <w:t>s</w:t>
            </w:r>
          </w:p>
        </w:tc>
        <w:tc>
          <w:tcPr>
            <w:tcW w:w="1951" w:type="dxa"/>
          </w:tcPr>
          <w:p w:rsidR="007C223A" w:rsidRPr="007C223A" w:rsidP="00B51CA8" w14:paraId="66484E75" w14:textId="77777777">
            <w:pPr>
              <w:jc w:val="right"/>
              <w:rPr>
                <w:color w:val="000000" w:themeColor="text1"/>
                <w:sz w:val="24"/>
                <w:szCs w:val="24"/>
                <w:lang w:eastAsia="lv-LV"/>
              </w:rPr>
            </w:pPr>
            <w:r w:rsidRPr="007C223A">
              <w:rPr>
                <w:color w:val="000000" w:themeColor="text1"/>
                <w:sz w:val="24"/>
                <w:szCs w:val="24"/>
                <w:lang w:eastAsia="lv-LV"/>
              </w:rPr>
              <w:t>3678</w:t>
            </w:r>
          </w:p>
        </w:tc>
        <w:tc>
          <w:tcPr>
            <w:tcW w:w="2768" w:type="dxa"/>
          </w:tcPr>
          <w:p w:rsidR="007C223A" w:rsidRPr="007C223A" w:rsidP="00B51CA8" w14:paraId="7EF6CCF2" w14:textId="77777777">
            <w:pPr>
              <w:jc w:val="right"/>
              <w:rPr>
                <w:color w:val="000000" w:themeColor="text1"/>
                <w:sz w:val="24"/>
                <w:szCs w:val="24"/>
                <w:lang w:eastAsia="lv-LV"/>
              </w:rPr>
            </w:pPr>
            <w:r w:rsidRPr="007C223A">
              <w:rPr>
                <w:color w:val="000000" w:themeColor="text1"/>
                <w:sz w:val="24"/>
                <w:szCs w:val="24"/>
                <w:lang w:eastAsia="lv-LV"/>
              </w:rPr>
              <w:t>2102</w:t>
            </w:r>
          </w:p>
        </w:tc>
        <w:tc>
          <w:tcPr>
            <w:tcW w:w="2370" w:type="dxa"/>
          </w:tcPr>
          <w:p w:rsidR="007C223A" w:rsidRPr="007C223A" w:rsidP="00B51CA8" w14:paraId="5D215613" w14:textId="77777777">
            <w:pPr>
              <w:jc w:val="right"/>
              <w:rPr>
                <w:color w:val="000000" w:themeColor="text1"/>
                <w:sz w:val="24"/>
                <w:szCs w:val="24"/>
                <w:lang w:eastAsia="lv-LV"/>
              </w:rPr>
            </w:pPr>
            <w:r w:rsidRPr="007C223A">
              <w:rPr>
                <w:color w:val="000000" w:themeColor="text1"/>
                <w:sz w:val="24"/>
                <w:szCs w:val="24"/>
                <w:lang w:eastAsia="lv-LV"/>
              </w:rPr>
              <w:t>57.2%</w:t>
            </w:r>
          </w:p>
        </w:tc>
      </w:tr>
      <w:tr w14:paraId="154D7963" w14:textId="77777777" w:rsidTr="00B51CA8">
        <w:tblPrEx>
          <w:tblW w:w="8784" w:type="dxa"/>
          <w:tblLook w:val="04A0"/>
        </w:tblPrEx>
        <w:trPr>
          <w:trHeight w:val="290"/>
        </w:trPr>
        <w:tc>
          <w:tcPr>
            <w:tcW w:w="1695" w:type="dxa"/>
          </w:tcPr>
          <w:p w:rsidR="007C223A" w:rsidRPr="007C223A" w:rsidP="00B51CA8" w14:paraId="2C889CF4" w14:textId="00A467CB">
            <w:pPr>
              <w:jc w:val="both"/>
              <w:rPr>
                <w:color w:val="000000" w:themeColor="text1"/>
                <w:sz w:val="24"/>
                <w:szCs w:val="24"/>
                <w:lang w:eastAsia="lv-LV"/>
              </w:rPr>
            </w:pPr>
            <w:r w:rsidRPr="007C223A">
              <w:rPr>
                <w:color w:val="000000" w:themeColor="text1"/>
                <w:sz w:val="24"/>
                <w:szCs w:val="24"/>
                <w:lang w:eastAsia="lv-LV"/>
              </w:rPr>
              <w:t>Zemgale</w:t>
            </w:r>
            <w:r w:rsidR="00AF799F">
              <w:rPr>
                <w:color w:val="000000" w:themeColor="text1"/>
                <w:sz w:val="24"/>
                <w:szCs w:val="24"/>
                <w:lang w:eastAsia="lv-LV"/>
              </w:rPr>
              <w:t>s</w:t>
            </w:r>
          </w:p>
        </w:tc>
        <w:tc>
          <w:tcPr>
            <w:tcW w:w="1951" w:type="dxa"/>
          </w:tcPr>
          <w:p w:rsidR="007C223A" w:rsidRPr="007C223A" w:rsidP="00B51CA8" w14:paraId="0FF9FAE9" w14:textId="77777777">
            <w:pPr>
              <w:jc w:val="right"/>
              <w:rPr>
                <w:color w:val="000000" w:themeColor="text1"/>
                <w:sz w:val="24"/>
                <w:szCs w:val="24"/>
                <w:lang w:eastAsia="lv-LV"/>
              </w:rPr>
            </w:pPr>
            <w:r w:rsidRPr="007C223A">
              <w:rPr>
                <w:color w:val="000000" w:themeColor="text1"/>
                <w:sz w:val="24"/>
                <w:szCs w:val="24"/>
                <w:lang w:eastAsia="lv-LV"/>
              </w:rPr>
              <w:t>4816</w:t>
            </w:r>
          </w:p>
        </w:tc>
        <w:tc>
          <w:tcPr>
            <w:tcW w:w="2768" w:type="dxa"/>
          </w:tcPr>
          <w:p w:rsidR="007C223A" w:rsidRPr="007C223A" w:rsidP="00B51CA8" w14:paraId="041B6DF4" w14:textId="77777777">
            <w:pPr>
              <w:jc w:val="right"/>
              <w:rPr>
                <w:color w:val="000000" w:themeColor="text1"/>
                <w:sz w:val="24"/>
                <w:szCs w:val="24"/>
                <w:lang w:eastAsia="lv-LV"/>
              </w:rPr>
            </w:pPr>
            <w:r w:rsidRPr="007C223A">
              <w:rPr>
                <w:color w:val="000000" w:themeColor="text1"/>
                <w:sz w:val="24"/>
                <w:szCs w:val="24"/>
                <w:lang w:eastAsia="lv-LV"/>
              </w:rPr>
              <w:t>2530</w:t>
            </w:r>
          </w:p>
        </w:tc>
        <w:tc>
          <w:tcPr>
            <w:tcW w:w="2370" w:type="dxa"/>
          </w:tcPr>
          <w:p w:rsidR="007C223A" w:rsidRPr="007C223A" w:rsidP="00B51CA8" w14:paraId="2B55CAB0" w14:textId="77777777">
            <w:pPr>
              <w:jc w:val="right"/>
              <w:rPr>
                <w:color w:val="000000" w:themeColor="text1"/>
                <w:sz w:val="24"/>
                <w:szCs w:val="24"/>
                <w:lang w:eastAsia="lv-LV"/>
              </w:rPr>
            </w:pPr>
            <w:r w:rsidRPr="007C223A">
              <w:rPr>
                <w:color w:val="000000" w:themeColor="text1"/>
                <w:sz w:val="24"/>
                <w:szCs w:val="24"/>
                <w:lang w:eastAsia="lv-LV"/>
              </w:rPr>
              <w:t>52.5%</w:t>
            </w:r>
          </w:p>
        </w:tc>
      </w:tr>
      <w:tr w14:paraId="2D835A2E" w14:textId="77777777" w:rsidTr="00B51CA8">
        <w:tblPrEx>
          <w:tblW w:w="8784" w:type="dxa"/>
          <w:tblLook w:val="04A0"/>
        </w:tblPrEx>
        <w:trPr>
          <w:trHeight w:val="290"/>
        </w:trPr>
        <w:tc>
          <w:tcPr>
            <w:tcW w:w="1695" w:type="dxa"/>
          </w:tcPr>
          <w:p w:rsidR="007C223A" w:rsidRPr="007C223A" w:rsidP="00B51CA8" w14:paraId="58368E53" w14:textId="3E2E80C8">
            <w:pPr>
              <w:jc w:val="both"/>
              <w:rPr>
                <w:color w:val="000000" w:themeColor="text1"/>
                <w:sz w:val="24"/>
                <w:szCs w:val="24"/>
                <w:lang w:eastAsia="lv-LV"/>
              </w:rPr>
            </w:pPr>
            <w:r w:rsidRPr="007C223A">
              <w:rPr>
                <w:color w:val="000000" w:themeColor="text1"/>
                <w:sz w:val="24"/>
                <w:szCs w:val="24"/>
                <w:lang w:eastAsia="lv-LV"/>
              </w:rPr>
              <w:t>Kurzeme</w:t>
            </w:r>
            <w:r w:rsidR="00AF799F">
              <w:rPr>
                <w:color w:val="000000" w:themeColor="text1"/>
                <w:sz w:val="24"/>
                <w:szCs w:val="24"/>
                <w:lang w:eastAsia="lv-LV"/>
              </w:rPr>
              <w:t>s</w:t>
            </w:r>
          </w:p>
        </w:tc>
        <w:tc>
          <w:tcPr>
            <w:tcW w:w="1951" w:type="dxa"/>
          </w:tcPr>
          <w:p w:rsidR="007C223A" w:rsidRPr="007C223A" w:rsidP="00B51CA8" w14:paraId="3FFEEB4E" w14:textId="77777777">
            <w:pPr>
              <w:jc w:val="right"/>
              <w:rPr>
                <w:color w:val="000000" w:themeColor="text1"/>
                <w:sz w:val="24"/>
                <w:szCs w:val="24"/>
                <w:lang w:eastAsia="lv-LV"/>
              </w:rPr>
            </w:pPr>
            <w:r w:rsidRPr="007C223A">
              <w:rPr>
                <w:color w:val="000000" w:themeColor="text1"/>
                <w:sz w:val="24"/>
                <w:szCs w:val="24"/>
                <w:lang w:eastAsia="lv-LV"/>
              </w:rPr>
              <w:t>4598</w:t>
            </w:r>
          </w:p>
        </w:tc>
        <w:tc>
          <w:tcPr>
            <w:tcW w:w="2768" w:type="dxa"/>
          </w:tcPr>
          <w:p w:rsidR="007C223A" w:rsidRPr="007C223A" w:rsidP="00B51CA8" w14:paraId="3195F16B" w14:textId="77777777">
            <w:pPr>
              <w:jc w:val="right"/>
              <w:rPr>
                <w:color w:val="000000" w:themeColor="text1"/>
                <w:sz w:val="24"/>
                <w:szCs w:val="24"/>
                <w:lang w:eastAsia="lv-LV"/>
              </w:rPr>
            </w:pPr>
            <w:r w:rsidRPr="007C223A">
              <w:rPr>
                <w:color w:val="000000" w:themeColor="text1"/>
                <w:sz w:val="24"/>
                <w:szCs w:val="24"/>
                <w:lang w:eastAsia="lv-LV"/>
              </w:rPr>
              <w:t>2092</w:t>
            </w:r>
          </w:p>
        </w:tc>
        <w:tc>
          <w:tcPr>
            <w:tcW w:w="2370" w:type="dxa"/>
          </w:tcPr>
          <w:p w:rsidR="007C223A" w:rsidRPr="007C223A" w:rsidP="00B51CA8" w14:paraId="605B66CB" w14:textId="77777777">
            <w:pPr>
              <w:jc w:val="right"/>
              <w:rPr>
                <w:color w:val="000000" w:themeColor="text1"/>
                <w:sz w:val="24"/>
                <w:szCs w:val="24"/>
                <w:lang w:eastAsia="lv-LV"/>
              </w:rPr>
            </w:pPr>
            <w:r w:rsidRPr="007C223A">
              <w:rPr>
                <w:color w:val="000000" w:themeColor="text1"/>
                <w:sz w:val="24"/>
                <w:szCs w:val="24"/>
                <w:lang w:eastAsia="lv-LV"/>
              </w:rPr>
              <w:t>45.5%</w:t>
            </w:r>
          </w:p>
        </w:tc>
      </w:tr>
      <w:tr w14:paraId="3A6D7EA4" w14:textId="77777777" w:rsidTr="00B51CA8">
        <w:tblPrEx>
          <w:tblW w:w="8784" w:type="dxa"/>
          <w:tblLook w:val="04A0"/>
        </w:tblPrEx>
        <w:trPr>
          <w:trHeight w:val="290"/>
        </w:trPr>
        <w:tc>
          <w:tcPr>
            <w:tcW w:w="1695" w:type="dxa"/>
          </w:tcPr>
          <w:p w:rsidR="007C223A" w:rsidRPr="007C223A" w:rsidP="00B51CA8" w14:paraId="232767C9" w14:textId="190F4EAE">
            <w:pPr>
              <w:jc w:val="both"/>
              <w:rPr>
                <w:color w:val="000000" w:themeColor="text1"/>
                <w:sz w:val="24"/>
                <w:szCs w:val="24"/>
                <w:lang w:eastAsia="lv-LV"/>
              </w:rPr>
            </w:pPr>
            <w:r w:rsidRPr="007C223A">
              <w:rPr>
                <w:color w:val="000000" w:themeColor="text1"/>
                <w:sz w:val="24"/>
                <w:szCs w:val="24"/>
                <w:lang w:eastAsia="lv-LV"/>
              </w:rPr>
              <w:t>Latgale</w:t>
            </w:r>
            <w:r w:rsidR="00AF799F">
              <w:rPr>
                <w:color w:val="000000" w:themeColor="text1"/>
                <w:sz w:val="24"/>
                <w:szCs w:val="24"/>
                <w:lang w:eastAsia="lv-LV"/>
              </w:rPr>
              <w:t>s</w:t>
            </w:r>
          </w:p>
        </w:tc>
        <w:tc>
          <w:tcPr>
            <w:tcW w:w="1951" w:type="dxa"/>
          </w:tcPr>
          <w:p w:rsidR="007C223A" w:rsidRPr="007C223A" w:rsidP="00B51CA8" w14:paraId="39C55207" w14:textId="77777777">
            <w:pPr>
              <w:jc w:val="right"/>
              <w:rPr>
                <w:color w:val="000000" w:themeColor="text1"/>
                <w:sz w:val="24"/>
                <w:szCs w:val="24"/>
                <w:lang w:eastAsia="lv-LV"/>
              </w:rPr>
            </w:pPr>
            <w:r w:rsidRPr="007C223A">
              <w:rPr>
                <w:color w:val="000000" w:themeColor="text1"/>
                <w:sz w:val="24"/>
                <w:szCs w:val="24"/>
                <w:lang w:eastAsia="lv-LV"/>
              </w:rPr>
              <w:t>3406</w:t>
            </w:r>
          </w:p>
        </w:tc>
        <w:tc>
          <w:tcPr>
            <w:tcW w:w="2768" w:type="dxa"/>
          </w:tcPr>
          <w:p w:rsidR="007C223A" w:rsidRPr="007C223A" w:rsidP="00B51CA8" w14:paraId="61E89F5F" w14:textId="77777777">
            <w:pPr>
              <w:jc w:val="right"/>
              <w:rPr>
                <w:color w:val="000000" w:themeColor="text1"/>
                <w:sz w:val="24"/>
                <w:szCs w:val="24"/>
                <w:lang w:eastAsia="lv-LV"/>
              </w:rPr>
            </w:pPr>
            <w:r w:rsidRPr="007C223A">
              <w:rPr>
                <w:color w:val="000000" w:themeColor="text1"/>
                <w:sz w:val="24"/>
                <w:szCs w:val="24"/>
                <w:lang w:eastAsia="lv-LV"/>
              </w:rPr>
              <w:t>1377</w:t>
            </w:r>
          </w:p>
        </w:tc>
        <w:tc>
          <w:tcPr>
            <w:tcW w:w="2370" w:type="dxa"/>
          </w:tcPr>
          <w:p w:rsidR="007C223A" w:rsidRPr="007C223A" w:rsidP="00B51CA8" w14:paraId="3436EEA2" w14:textId="77777777">
            <w:pPr>
              <w:jc w:val="right"/>
              <w:rPr>
                <w:color w:val="000000" w:themeColor="text1"/>
                <w:sz w:val="24"/>
                <w:szCs w:val="24"/>
                <w:lang w:eastAsia="lv-LV"/>
              </w:rPr>
            </w:pPr>
            <w:r w:rsidRPr="007C223A">
              <w:rPr>
                <w:color w:val="000000" w:themeColor="text1"/>
                <w:sz w:val="24"/>
                <w:szCs w:val="24"/>
                <w:lang w:eastAsia="lv-LV"/>
              </w:rPr>
              <w:t>40.4%</w:t>
            </w:r>
          </w:p>
        </w:tc>
      </w:tr>
      <w:tr w14:paraId="048E8E0E" w14:textId="77777777" w:rsidTr="00B51CA8">
        <w:tblPrEx>
          <w:tblW w:w="8784" w:type="dxa"/>
          <w:tblLook w:val="04A0"/>
        </w:tblPrEx>
        <w:trPr>
          <w:trHeight w:val="290"/>
        </w:trPr>
        <w:tc>
          <w:tcPr>
            <w:tcW w:w="1695" w:type="dxa"/>
          </w:tcPr>
          <w:p w:rsidR="007C223A" w:rsidRPr="007C223A" w:rsidP="00B51CA8" w14:paraId="15A01F7D" w14:textId="7B4A15DD">
            <w:pPr>
              <w:jc w:val="both"/>
              <w:rPr>
                <w:color w:val="000000" w:themeColor="text1"/>
                <w:sz w:val="24"/>
                <w:szCs w:val="24"/>
                <w:lang w:eastAsia="lv-LV"/>
              </w:rPr>
            </w:pPr>
            <w:r w:rsidRPr="007C223A">
              <w:rPr>
                <w:color w:val="000000" w:themeColor="text1"/>
                <w:sz w:val="24"/>
                <w:szCs w:val="24"/>
                <w:lang w:eastAsia="lv-LV"/>
              </w:rPr>
              <w:t>Rīgas</w:t>
            </w:r>
          </w:p>
        </w:tc>
        <w:tc>
          <w:tcPr>
            <w:tcW w:w="1951" w:type="dxa"/>
          </w:tcPr>
          <w:p w:rsidR="007C223A" w:rsidRPr="007C223A" w:rsidP="00B51CA8" w14:paraId="3AE4C3F2" w14:textId="77777777">
            <w:pPr>
              <w:jc w:val="right"/>
              <w:rPr>
                <w:color w:val="000000" w:themeColor="text1"/>
                <w:sz w:val="24"/>
                <w:szCs w:val="24"/>
                <w:lang w:eastAsia="lv-LV"/>
              </w:rPr>
            </w:pPr>
            <w:r w:rsidRPr="007C223A">
              <w:rPr>
                <w:color w:val="000000" w:themeColor="text1"/>
                <w:sz w:val="24"/>
                <w:szCs w:val="24"/>
                <w:lang w:eastAsia="lv-LV"/>
              </w:rPr>
              <w:t>14357</w:t>
            </w:r>
          </w:p>
        </w:tc>
        <w:tc>
          <w:tcPr>
            <w:tcW w:w="2768" w:type="dxa"/>
          </w:tcPr>
          <w:p w:rsidR="007C223A" w:rsidRPr="007C223A" w:rsidP="00B51CA8" w14:paraId="753DE3F7" w14:textId="77777777">
            <w:pPr>
              <w:jc w:val="right"/>
              <w:rPr>
                <w:color w:val="000000" w:themeColor="text1"/>
                <w:sz w:val="24"/>
                <w:szCs w:val="24"/>
                <w:lang w:eastAsia="lv-LV"/>
              </w:rPr>
            </w:pPr>
            <w:r w:rsidRPr="007C223A">
              <w:rPr>
                <w:color w:val="000000" w:themeColor="text1"/>
                <w:sz w:val="24"/>
                <w:szCs w:val="24"/>
                <w:lang w:eastAsia="lv-LV"/>
              </w:rPr>
              <w:t>4381</w:t>
            </w:r>
          </w:p>
        </w:tc>
        <w:tc>
          <w:tcPr>
            <w:tcW w:w="2370" w:type="dxa"/>
          </w:tcPr>
          <w:p w:rsidR="007C223A" w:rsidRPr="007C223A" w:rsidP="00B51CA8" w14:paraId="625F7EC1" w14:textId="77777777">
            <w:pPr>
              <w:jc w:val="right"/>
              <w:rPr>
                <w:color w:val="000000" w:themeColor="text1"/>
                <w:sz w:val="24"/>
                <w:szCs w:val="24"/>
                <w:lang w:eastAsia="lv-LV"/>
              </w:rPr>
            </w:pPr>
            <w:r w:rsidRPr="007C223A">
              <w:rPr>
                <w:color w:val="000000" w:themeColor="text1"/>
                <w:sz w:val="24"/>
                <w:szCs w:val="24"/>
                <w:lang w:eastAsia="lv-LV"/>
              </w:rPr>
              <w:t>30.5%</w:t>
            </w:r>
          </w:p>
        </w:tc>
      </w:tr>
      <w:tr w14:paraId="3168712B" w14:textId="77777777" w:rsidTr="00B51CA8">
        <w:tblPrEx>
          <w:tblW w:w="8784" w:type="dxa"/>
          <w:tblLook w:val="04A0"/>
        </w:tblPrEx>
        <w:trPr>
          <w:trHeight w:val="290"/>
        </w:trPr>
        <w:tc>
          <w:tcPr>
            <w:tcW w:w="1695" w:type="dxa"/>
          </w:tcPr>
          <w:p w:rsidR="007C223A" w:rsidRPr="007C223A" w:rsidP="00B51CA8" w14:paraId="6BEC5DB0" w14:textId="77777777">
            <w:pPr>
              <w:jc w:val="both"/>
              <w:rPr>
                <w:b/>
                <w:bCs/>
                <w:color w:val="000000" w:themeColor="text1"/>
                <w:sz w:val="24"/>
                <w:szCs w:val="24"/>
                <w:lang w:eastAsia="lv-LV"/>
              </w:rPr>
            </w:pPr>
            <w:r w:rsidRPr="007C223A">
              <w:rPr>
                <w:b/>
                <w:bCs/>
                <w:color w:val="000000" w:themeColor="text1"/>
                <w:sz w:val="24"/>
                <w:szCs w:val="24"/>
                <w:lang w:eastAsia="lv-LV"/>
              </w:rPr>
              <w:t>KOPĀ</w:t>
            </w:r>
          </w:p>
        </w:tc>
        <w:tc>
          <w:tcPr>
            <w:tcW w:w="1951" w:type="dxa"/>
          </w:tcPr>
          <w:p w:rsidR="007C223A" w:rsidRPr="007C223A" w:rsidP="00B51CA8" w14:paraId="65D32863" w14:textId="77777777">
            <w:pPr>
              <w:jc w:val="right"/>
              <w:rPr>
                <w:b/>
                <w:bCs/>
                <w:color w:val="000000" w:themeColor="text1"/>
                <w:sz w:val="24"/>
                <w:szCs w:val="24"/>
                <w:lang w:eastAsia="lv-LV"/>
              </w:rPr>
            </w:pPr>
            <w:r w:rsidRPr="007C223A">
              <w:rPr>
                <w:b/>
                <w:bCs/>
                <w:color w:val="000000" w:themeColor="text1"/>
                <w:sz w:val="24"/>
                <w:szCs w:val="24"/>
                <w:lang w:eastAsia="lv-LV"/>
              </w:rPr>
              <w:t>30855</w:t>
            </w:r>
          </w:p>
        </w:tc>
        <w:tc>
          <w:tcPr>
            <w:tcW w:w="2768" w:type="dxa"/>
          </w:tcPr>
          <w:p w:rsidR="007C223A" w:rsidRPr="007C223A" w:rsidP="00B51CA8" w14:paraId="70C15D1E" w14:textId="77777777">
            <w:pPr>
              <w:jc w:val="right"/>
              <w:rPr>
                <w:b/>
                <w:bCs/>
                <w:color w:val="000000" w:themeColor="text1"/>
                <w:sz w:val="24"/>
                <w:szCs w:val="24"/>
                <w:lang w:eastAsia="lv-LV"/>
              </w:rPr>
            </w:pPr>
            <w:r w:rsidRPr="007C223A">
              <w:rPr>
                <w:b/>
                <w:bCs/>
                <w:color w:val="000000" w:themeColor="text1"/>
                <w:sz w:val="24"/>
                <w:szCs w:val="24"/>
                <w:lang w:eastAsia="lv-LV"/>
              </w:rPr>
              <w:t>12482</w:t>
            </w:r>
          </w:p>
        </w:tc>
        <w:tc>
          <w:tcPr>
            <w:tcW w:w="2370" w:type="dxa"/>
          </w:tcPr>
          <w:p w:rsidR="007C223A" w:rsidRPr="007C223A" w:rsidP="00B51CA8" w14:paraId="451E2B1A" w14:textId="77777777">
            <w:pPr>
              <w:jc w:val="right"/>
              <w:rPr>
                <w:b/>
                <w:bCs/>
                <w:color w:val="000000" w:themeColor="text1"/>
                <w:sz w:val="24"/>
                <w:szCs w:val="24"/>
                <w:lang w:eastAsia="lv-LV"/>
              </w:rPr>
            </w:pPr>
            <w:r w:rsidRPr="007C223A">
              <w:rPr>
                <w:b/>
                <w:bCs/>
                <w:color w:val="000000" w:themeColor="text1"/>
                <w:sz w:val="24"/>
                <w:szCs w:val="24"/>
                <w:lang w:eastAsia="lv-LV"/>
              </w:rPr>
              <w:t>40.5%</w:t>
            </w:r>
          </w:p>
        </w:tc>
      </w:tr>
    </w:tbl>
    <w:p w:rsidR="007C223A" w:rsidRPr="007C223A" w:rsidP="007C223A" w14:paraId="0ECA479B" w14:textId="77777777">
      <w:pPr>
        <w:jc w:val="both"/>
        <w:rPr>
          <w:sz w:val="24"/>
          <w:szCs w:val="24"/>
        </w:rPr>
      </w:pPr>
    </w:p>
    <w:p w:rsidR="007C223A" w:rsidRPr="007C223A" w:rsidP="007C223A" w14:paraId="0129B5A4" w14:textId="4CE619D8">
      <w:pPr>
        <w:ind w:firstLine="720"/>
        <w:jc w:val="both"/>
        <w:rPr>
          <w:sz w:val="24"/>
          <w:szCs w:val="24"/>
        </w:rPr>
      </w:pPr>
      <w:r w:rsidRPr="007C223A">
        <w:rPr>
          <w:sz w:val="24"/>
          <w:szCs w:val="24"/>
        </w:rPr>
        <w:t xml:space="preserve">Centrs ir konstatējis, ka pastāv būtiskas atšķirības vakcinācijas aptverē starp ģimenes ārstu praksēm: ir prakses, kas sasniegušas augstu vakcinācijas aptveri, un prakses, kurās tā ir ļoti zema </w:t>
      </w:r>
      <w:r w:rsidRPr="007C223A" w:rsidR="00AF799F">
        <w:rPr>
          <w:sz w:val="24"/>
          <w:szCs w:val="24"/>
        </w:rPr>
        <w:t>–</w:t>
      </w:r>
      <w:r w:rsidR="00AF799F">
        <w:rPr>
          <w:sz w:val="24"/>
          <w:szCs w:val="24"/>
        </w:rPr>
        <w:t xml:space="preserve"> </w:t>
      </w:r>
      <w:r w:rsidRPr="007C223A">
        <w:rPr>
          <w:sz w:val="24"/>
          <w:szCs w:val="24"/>
        </w:rPr>
        <w:t>pat bez neviena attiecīgā vecuma vakcinēta bērna:</w:t>
      </w:r>
    </w:p>
    <w:p w:rsidR="007C223A" w:rsidRPr="007C223A" w:rsidP="007C223A" w14:paraId="382A0E20" w14:textId="529AFEDB">
      <w:pPr>
        <w:pStyle w:val="ListParagraph"/>
        <w:numPr>
          <w:ilvl w:val="0"/>
          <w:numId w:val="3"/>
        </w:numPr>
        <w:spacing w:after="160" w:line="278" w:lineRule="auto"/>
        <w:jc w:val="both"/>
        <w:rPr>
          <w:rFonts w:ascii="Times New Roman" w:hAnsi="Times New Roman"/>
          <w:sz w:val="24"/>
          <w:szCs w:val="24"/>
        </w:rPr>
      </w:pPr>
      <w:r w:rsidRPr="007C223A">
        <w:rPr>
          <w:rFonts w:ascii="Times New Roman" w:hAnsi="Times New Roman"/>
          <w:sz w:val="24"/>
          <w:szCs w:val="24"/>
        </w:rPr>
        <w:t>177 ģimenes ārstu praksēs ir sasniegta vai pārsniegta 70% vakcinācijas aptvere norādītajā vecumu grupā</w:t>
      </w:r>
      <w:r w:rsidR="00AF799F">
        <w:rPr>
          <w:rFonts w:ascii="Times New Roman" w:hAnsi="Times New Roman"/>
          <w:sz w:val="24"/>
          <w:szCs w:val="24"/>
        </w:rPr>
        <w:t xml:space="preserve"> </w:t>
      </w:r>
      <w:r w:rsidRPr="007C223A">
        <w:rPr>
          <w:rFonts w:ascii="Times New Roman" w:hAnsi="Times New Roman"/>
          <w:sz w:val="24"/>
          <w:szCs w:val="24"/>
        </w:rPr>
        <w:t xml:space="preserve">– kopā vakcinēti 3714 bērni (no 1 līdz 83 bērniem praksē), vidēji 21 bērns praksē, no tām 33 ģimenes ārstu praksēs </w:t>
      </w:r>
      <w:r w:rsidRPr="007C223A">
        <w:rPr>
          <w:rFonts w:ascii="Times New Roman" w:hAnsi="Times New Roman"/>
          <w:b/>
          <w:bCs/>
          <w:sz w:val="24"/>
          <w:szCs w:val="24"/>
        </w:rPr>
        <w:t>ir vakcinēti visi</w:t>
      </w:r>
      <w:r w:rsidRPr="007C223A">
        <w:rPr>
          <w:rFonts w:ascii="Times New Roman" w:hAnsi="Times New Roman"/>
          <w:sz w:val="24"/>
          <w:szCs w:val="24"/>
        </w:rPr>
        <w:t xml:space="preserve"> reģistrētie norādītā vecuma pacienti </w:t>
      </w:r>
      <w:r w:rsidRPr="007C223A" w:rsidR="00AF799F">
        <w:rPr>
          <w:rFonts w:ascii="Times New Roman" w:hAnsi="Times New Roman"/>
          <w:sz w:val="24"/>
          <w:szCs w:val="24"/>
        </w:rPr>
        <w:t>–</w:t>
      </w:r>
      <w:r w:rsidRPr="00AF799F">
        <w:rPr>
          <w:rFonts w:ascii="Times New Roman" w:hAnsi="Times New Roman"/>
          <w:sz w:val="24"/>
          <w:szCs w:val="24"/>
        </w:rPr>
        <w:t xml:space="preserve"> </w:t>
      </w:r>
      <w:r w:rsidRPr="007C223A">
        <w:rPr>
          <w:rFonts w:ascii="Times New Roman" w:hAnsi="Times New Roman"/>
          <w:sz w:val="24"/>
          <w:szCs w:val="24"/>
        </w:rPr>
        <w:t>kopā vakcinēti 165 bērni (no 1 līdz 25 bērniem praksē), vidēji 5 bērni praksē;</w:t>
      </w:r>
    </w:p>
    <w:p w:rsidR="00AF799F" w:rsidP="00AF799F" w14:paraId="3D5F1EB1" w14:textId="77777777">
      <w:pPr>
        <w:pStyle w:val="ListParagraph"/>
        <w:numPr>
          <w:ilvl w:val="0"/>
          <w:numId w:val="3"/>
        </w:numPr>
        <w:spacing w:after="160" w:line="278" w:lineRule="auto"/>
        <w:jc w:val="both"/>
        <w:rPr>
          <w:rFonts w:ascii="Times New Roman" w:hAnsi="Times New Roman"/>
          <w:sz w:val="24"/>
          <w:szCs w:val="24"/>
        </w:rPr>
      </w:pPr>
      <w:r w:rsidRPr="007C223A">
        <w:rPr>
          <w:rFonts w:ascii="Times New Roman" w:hAnsi="Times New Roman"/>
          <w:sz w:val="24"/>
          <w:szCs w:val="24"/>
        </w:rPr>
        <w:t xml:space="preserve">469 ģimenes ārstu praksēs aptvere nepārsniedz 30% procentus – kopā palicis nevakcinēts 8761 bērns (no 1 līdz 138 bērniem praksē), vidēji 19 bērni praksē, no tām 112 ģimenes ārstu praksēs </w:t>
      </w:r>
      <w:r w:rsidRPr="007C223A">
        <w:rPr>
          <w:rFonts w:ascii="Times New Roman" w:hAnsi="Times New Roman"/>
          <w:b/>
          <w:bCs/>
          <w:sz w:val="24"/>
          <w:szCs w:val="24"/>
        </w:rPr>
        <w:t>nav vakcinēts neviens</w:t>
      </w:r>
      <w:r w:rsidRPr="007C223A">
        <w:rPr>
          <w:rFonts w:ascii="Times New Roman" w:hAnsi="Times New Roman"/>
          <w:sz w:val="24"/>
          <w:szCs w:val="24"/>
        </w:rPr>
        <w:t xml:space="preserve"> no reģistrētajiem norādītā vecuma pacientiem </w:t>
      </w:r>
      <w:r w:rsidRPr="007C223A">
        <w:rPr>
          <w:rFonts w:ascii="Times New Roman" w:hAnsi="Times New Roman"/>
          <w:sz w:val="24"/>
          <w:szCs w:val="24"/>
        </w:rPr>
        <w:t>–</w:t>
      </w:r>
      <w:r w:rsidRPr="007C223A">
        <w:rPr>
          <w:rFonts w:ascii="Times New Roman" w:hAnsi="Times New Roman"/>
          <w:sz w:val="24"/>
          <w:szCs w:val="24"/>
        </w:rPr>
        <w:t xml:space="preserve"> kopā 447 bērni (no 1 līdz 67 bērniem praksē), vidēji 4 bērni praksē.</w:t>
      </w:r>
    </w:p>
    <w:p w:rsidR="00AF799F" w:rsidP="00AF799F" w14:paraId="045E25B6" w14:textId="77777777">
      <w:pPr>
        <w:spacing w:after="160" w:line="278" w:lineRule="auto"/>
        <w:ind w:firstLine="720"/>
        <w:jc w:val="both"/>
        <w:rPr>
          <w:sz w:val="24"/>
          <w:szCs w:val="24"/>
        </w:rPr>
      </w:pPr>
      <w:r w:rsidRPr="00AF799F">
        <w:rPr>
          <w:sz w:val="24"/>
          <w:szCs w:val="24"/>
        </w:rPr>
        <w:t xml:space="preserve">2026. gada 4. martā tika atzīmēta Starptautiskā cilvēka </w:t>
      </w:r>
      <w:r w:rsidRPr="00AF799F">
        <w:rPr>
          <w:sz w:val="24"/>
          <w:szCs w:val="24"/>
        </w:rPr>
        <w:t>papilomas</w:t>
      </w:r>
      <w:r w:rsidRPr="00AF799F">
        <w:rPr>
          <w:sz w:val="24"/>
          <w:szCs w:val="24"/>
        </w:rPr>
        <w:t xml:space="preserve"> vīrusa izpratnes veicināšanas diena. Centrs ir nosūtījis pateicības vēstules par ieguldījumu augstas vakcinācijas aptveres pret CPV infekciju sasniegšanā tiem ārstiem, kuri panākuši 100% vakcinācijas aptveri, kā arī tām ārstu praksēm, kurās ir vakcinēta lielākā daļa mērķa grupas bērnu, sasniedzot vai pārsniedzot noteikto 70% līmeni.</w:t>
      </w:r>
    </w:p>
    <w:p w:rsidR="00AF799F" w:rsidP="00AF799F" w14:paraId="3AE83D3B" w14:textId="77777777">
      <w:pPr>
        <w:spacing w:after="160" w:line="278" w:lineRule="auto"/>
        <w:ind w:firstLine="720"/>
        <w:jc w:val="both"/>
        <w:rPr>
          <w:sz w:val="24"/>
          <w:szCs w:val="24"/>
        </w:rPr>
      </w:pPr>
      <w:r w:rsidRPr="007C223A">
        <w:rPr>
          <w:sz w:val="24"/>
          <w:szCs w:val="24"/>
        </w:rPr>
        <w:t xml:space="preserve">Izmantojot starptautiski atzītu vakcinācijas veicināšanas paņēmienu, Centrs aicināja ģimenes ārstus dalīties ar savu pieredzi vakcinācijas darba organizācijā, kas ļāvusi panākt labu pacientu atsaucību un sasniegt augstus vakcinācijas rezultātus. Ģimenes ārstu profesionālā pieredze un sasniegtie rezultāti ir ārkārtīgi vērtīgi. </w:t>
      </w:r>
    </w:p>
    <w:p w:rsidR="007C223A" w:rsidRPr="007C223A" w:rsidP="00AF799F" w14:paraId="3D9BF24A" w14:textId="70850A47">
      <w:pPr>
        <w:spacing w:after="160" w:line="278" w:lineRule="auto"/>
        <w:ind w:firstLine="720"/>
        <w:jc w:val="both"/>
        <w:rPr>
          <w:sz w:val="24"/>
          <w:szCs w:val="24"/>
        </w:rPr>
      </w:pPr>
      <w:r w:rsidRPr="007C223A">
        <w:rPr>
          <w:sz w:val="24"/>
          <w:szCs w:val="24"/>
        </w:rPr>
        <w:t xml:space="preserve">Ļoti novērtēsim, ja līdz 15. aprīlim Jūsu biedri, kas pārsnieguši 70% vakcinācijas aptveri, nosūtīs Centram (uz e‑pastu </w:t>
      </w:r>
      <w:hyperlink r:id="rId8">
        <w:r w:rsidRPr="007C223A">
          <w:rPr>
            <w:rStyle w:val="Hyperlink"/>
            <w:sz w:val="24"/>
            <w:szCs w:val="24"/>
          </w:rPr>
          <w:t>vakcinas@spkc.gov.lv</w:t>
        </w:r>
      </w:hyperlink>
      <w:r w:rsidRPr="007C223A">
        <w:rPr>
          <w:sz w:val="24"/>
          <w:szCs w:val="24"/>
        </w:rPr>
        <w:t>) savas prakses “veiksmes stāstus”, kā izdevies panākt šādu rezultātu. Atzīmējot šī gada Pasaules Imunizācijas nedēļu (24.–30. aprīlis), mēs varēsim padarīt Jūsu biedru labās prakses pieredzi zināmu kolēģiem, to publicējot SPKC tīmekļvietnē un nosūtot informāciju ģimenes ārstu asociācijām.</w:t>
      </w:r>
    </w:p>
    <w:p w:rsidR="007C223A" w:rsidRPr="007C223A" w:rsidP="007C223A" w14:paraId="22AACC6A" w14:textId="77777777">
      <w:pPr>
        <w:ind w:firstLine="720"/>
        <w:jc w:val="both"/>
        <w:rPr>
          <w:sz w:val="24"/>
          <w:szCs w:val="24"/>
        </w:rPr>
      </w:pPr>
      <w:r w:rsidRPr="007C223A">
        <w:rPr>
          <w:sz w:val="24"/>
          <w:szCs w:val="24"/>
        </w:rPr>
        <w:t>Laipni lūdzam izplatīt šo vēstuli Jūsu asociācijas biedru vidū.</w:t>
      </w:r>
    </w:p>
    <w:p w:rsidR="00477923" w:rsidRPr="003F6412" w:rsidP="00784C77" w14:paraId="1D426A00" w14:textId="2C0FA827">
      <w:pPr>
        <w:tabs>
          <w:tab w:val="left" w:pos="6804"/>
        </w:tabs>
        <w:spacing w:before="480" w:after="480"/>
        <w:jc w:val="both"/>
        <w:rPr>
          <w:sz w:val="24"/>
          <w:szCs w:val="24"/>
        </w:rPr>
      </w:pPr>
      <w:r w:rsidRPr="003F6412">
        <w:rPr>
          <w:sz w:val="24"/>
          <w:szCs w:val="24"/>
        </w:rPr>
        <w:t>Direktor</w:t>
      </w:r>
      <w:r w:rsidR="00CF29EA">
        <w:rPr>
          <w:sz w:val="24"/>
          <w:szCs w:val="24"/>
        </w:rPr>
        <w:t xml:space="preserve">a </w:t>
      </w:r>
      <w:r w:rsidR="00CF29EA">
        <w:rPr>
          <w:sz w:val="24"/>
          <w:szCs w:val="24"/>
        </w:rPr>
        <w:t>p.i</w:t>
      </w:r>
      <w:r w:rsidR="00CF29EA">
        <w:rPr>
          <w:sz w:val="24"/>
          <w:szCs w:val="24"/>
        </w:rPr>
        <w:t>.</w:t>
      </w:r>
      <w:r w:rsidRPr="003F6412">
        <w:rPr>
          <w:sz w:val="24"/>
          <w:szCs w:val="24"/>
        </w:rPr>
        <w:tab/>
      </w:r>
      <w:r w:rsidRPr="003F6412">
        <w:rPr>
          <w:noProof/>
          <w:sz w:val="24"/>
          <w:szCs w:val="24"/>
          <w:lang w:eastAsia="lv-LV"/>
        </w:rPr>
        <w:t>Dzintars Mozgis</w:t>
      </w:r>
    </w:p>
    <w:p w:rsidR="002079F2" w:rsidP="002079F2" w14:paraId="0FA6DEAA" w14:textId="44304F7C">
      <w:pPr>
        <w:pStyle w:val="BodyB"/>
        <w:rPr>
          <w:sz w:val="20"/>
        </w:rPr>
      </w:pPr>
      <w:r>
        <w:rPr>
          <w:noProof/>
          <w:sz w:val="20"/>
        </w:rPr>
        <w:t>Armīns Kalniņš</w:t>
      </w:r>
    </w:p>
    <w:p w:rsidR="00A91007" w:rsidRPr="00A91007" w:rsidP="00477923" w14:paraId="43555665" w14:textId="6DBA4052">
      <w:pPr>
        <w:pStyle w:val="BodyB"/>
      </w:pPr>
      <w:r>
        <w:rPr>
          <w:noProof/>
          <w:sz w:val="20"/>
        </w:rPr>
        <w:t>armins.kalnins@spkc.gov.lv</w:t>
      </w:r>
    </w:p>
    <w:sectPr w:rsidSect="008C265B">
      <w:footerReference w:type="default" r:id="rId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E4B" w:rsidP="00F84E4B" w14:paraId="6223A9EB" w14:textId="77777777">
    <w:pPr>
      <w:pStyle w:val="Footer"/>
      <w:jc w:val="center"/>
    </w:pPr>
    <w:r w:rsidRPr="001B3C4F">
      <w:t>DOKUMENTS PARAKSTĪTS ELEKTRONISKI AR DROŠU ELEKTRONISKO PARAKSTU</w:t>
    </w:r>
  </w:p>
  <w:p w:rsidR="00CD015F" w:rsidP="00F84E4B" w14:paraId="0D3A8D37" w14:textId="77777777">
    <w:pPr>
      <w:pStyle w:val="Footer"/>
      <w:jc w:val="center"/>
    </w:pPr>
    <w:r w:rsidRPr="001B3C4F">
      <w:t xml:space="preserve">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E7AA7" w14:paraId="2ED79E6F" w14:textId="77777777">
      <w:r>
        <w:separator/>
      </w:r>
    </w:p>
  </w:footnote>
  <w:footnote w:type="continuationSeparator" w:id="1">
    <w:p w:rsidR="007E7AA7" w14:paraId="2D140316" w14:textId="77777777">
      <w:r>
        <w:continuationSeparator/>
      </w:r>
    </w:p>
  </w:footnote>
  <w:footnote w:id="2">
    <w:p w:rsidR="007C223A" w:rsidRPr="007C223A" w:rsidP="007C223A" w14:paraId="0C9A6326" w14:textId="1F2FF4B2">
      <w:pPr>
        <w:pStyle w:val="FootnoteText"/>
        <w:rPr>
          <w:rFonts w:ascii="Times New Roman" w:hAnsi="Times New Roman" w:cs="Times New Roman"/>
          <w:sz w:val="16"/>
          <w:szCs w:val="16"/>
        </w:rPr>
      </w:pPr>
      <w:r w:rsidRPr="007C223A">
        <w:rPr>
          <w:rStyle w:val="FootnoteReference"/>
          <w:rFonts w:ascii="Times New Roman" w:hAnsi="Times New Roman" w:cs="Times New Roman"/>
          <w:sz w:val="16"/>
          <w:szCs w:val="16"/>
        </w:rPr>
        <w:footnoteRef/>
      </w:r>
      <w:r w:rsidRPr="007C223A">
        <w:rPr>
          <w:rFonts w:ascii="Times New Roman" w:hAnsi="Times New Roman" w:cs="Times New Roman"/>
          <w:sz w:val="16"/>
          <w:szCs w:val="16"/>
        </w:rPr>
        <w:t xml:space="preserve"> </w:t>
      </w:r>
      <w:r w:rsidRPr="007C223A">
        <w:rPr>
          <w:rFonts w:ascii="Times New Roman" w:eastAsia="Times New Roman" w:hAnsi="Times New Roman" w:cs="Times New Roman"/>
          <w:sz w:val="16"/>
          <w:szCs w:val="16"/>
        </w:rPr>
        <w:t>Dati no 2024. gada 1. februāra līdz 2026. gada 10. februārim par mērķa grupu pacientiem, kuri šajā laikā bija reģistrēti ārstu praksēs un kuriem bija jānodrošina vakcinācija: bērniem, kuri 2026. gada 10. februārī bija sasnieguši 13 līdz 13,5 gadu vecumu (pirmā pote); bērniem vecumā no 13,5 līdz 14 gadiem (pilns vakcinācijas kurss); bērniem vecumā no 14 līdz 14,5 gadiem (vismaz otrā pote).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255B27BC"/>
    <w:multiLevelType w:val="hybridMultilevel"/>
    <w:tmpl w:val="9E7EB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1BEDE4"/>
    <w:multiLevelType w:val="hybridMultilevel"/>
    <w:tmpl w:val="04185A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F776723"/>
    <w:multiLevelType w:val="hybridMultilevel"/>
    <w:tmpl w:val="75C478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960722276">
    <w:abstractNumId w:val="2"/>
  </w:num>
  <w:num w:numId="2" w16cid:durableId="619871805">
    <w:abstractNumId w:val="3"/>
  </w:num>
  <w:num w:numId="3" w16cid:durableId="572085853">
    <w:abstractNumId w:val="0"/>
  </w:num>
  <w:num w:numId="4" w16cid:durableId="1923681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attachedTemplate r:id="rId1"/>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CC"/>
    <w:rsid w:val="00020179"/>
    <w:rsid w:val="000D65D1"/>
    <w:rsid w:val="00112C48"/>
    <w:rsid w:val="00154B6E"/>
    <w:rsid w:val="00172A3B"/>
    <w:rsid w:val="00195A3A"/>
    <w:rsid w:val="001963C5"/>
    <w:rsid w:val="001B3C4F"/>
    <w:rsid w:val="001F3DE1"/>
    <w:rsid w:val="002079F2"/>
    <w:rsid w:val="00222B8B"/>
    <w:rsid w:val="00237C47"/>
    <w:rsid w:val="00247E9C"/>
    <w:rsid w:val="00280BAC"/>
    <w:rsid w:val="00376EF5"/>
    <w:rsid w:val="003925BE"/>
    <w:rsid w:val="003A5E2C"/>
    <w:rsid w:val="003E7BBE"/>
    <w:rsid w:val="003F2940"/>
    <w:rsid w:val="003F6412"/>
    <w:rsid w:val="00415D28"/>
    <w:rsid w:val="00443D6E"/>
    <w:rsid w:val="004568DF"/>
    <w:rsid w:val="00456D43"/>
    <w:rsid w:val="00477923"/>
    <w:rsid w:val="00480BD0"/>
    <w:rsid w:val="004A063D"/>
    <w:rsid w:val="00505CA0"/>
    <w:rsid w:val="005249D9"/>
    <w:rsid w:val="0055269A"/>
    <w:rsid w:val="005603D1"/>
    <w:rsid w:val="00587CC8"/>
    <w:rsid w:val="005D3E87"/>
    <w:rsid w:val="005E419C"/>
    <w:rsid w:val="006765DF"/>
    <w:rsid w:val="006A3E8D"/>
    <w:rsid w:val="006D3FD6"/>
    <w:rsid w:val="007322A6"/>
    <w:rsid w:val="00784C77"/>
    <w:rsid w:val="007906BB"/>
    <w:rsid w:val="007C223A"/>
    <w:rsid w:val="007E7AA7"/>
    <w:rsid w:val="00893003"/>
    <w:rsid w:val="008B15BC"/>
    <w:rsid w:val="008B6D06"/>
    <w:rsid w:val="008B742D"/>
    <w:rsid w:val="008C1719"/>
    <w:rsid w:val="008C265B"/>
    <w:rsid w:val="00987215"/>
    <w:rsid w:val="00994AA3"/>
    <w:rsid w:val="009E26F3"/>
    <w:rsid w:val="00A23AAC"/>
    <w:rsid w:val="00A24A6B"/>
    <w:rsid w:val="00A277B8"/>
    <w:rsid w:val="00A91007"/>
    <w:rsid w:val="00AF799F"/>
    <w:rsid w:val="00B05611"/>
    <w:rsid w:val="00B16961"/>
    <w:rsid w:val="00B51CA8"/>
    <w:rsid w:val="00B86B76"/>
    <w:rsid w:val="00BE7124"/>
    <w:rsid w:val="00BF3D96"/>
    <w:rsid w:val="00C12D6E"/>
    <w:rsid w:val="00C4438A"/>
    <w:rsid w:val="00C92245"/>
    <w:rsid w:val="00CA27BF"/>
    <w:rsid w:val="00CB2202"/>
    <w:rsid w:val="00CB77F0"/>
    <w:rsid w:val="00CC1A82"/>
    <w:rsid w:val="00CC4F90"/>
    <w:rsid w:val="00CD015F"/>
    <w:rsid w:val="00CF29EA"/>
    <w:rsid w:val="00D5053F"/>
    <w:rsid w:val="00D831E1"/>
    <w:rsid w:val="00D92D62"/>
    <w:rsid w:val="00DC0153"/>
    <w:rsid w:val="00DC1881"/>
    <w:rsid w:val="00DE33E0"/>
    <w:rsid w:val="00E029CF"/>
    <w:rsid w:val="00E10BEB"/>
    <w:rsid w:val="00E33119"/>
    <w:rsid w:val="00E402D8"/>
    <w:rsid w:val="00E46716"/>
    <w:rsid w:val="00E46A48"/>
    <w:rsid w:val="00E55896"/>
    <w:rsid w:val="00E66083"/>
    <w:rsid w:val="00E92ACC"/>
    <w:rsid w:val="00EC6B3B"/>
    <w:rsid w:val="00EE4551"/>
    <w:rsid w:val="00EE7EE5"/>
    <w:rsid w:val="00F84E4B"/>
    <w:rsid w:val="00FB54D0"/>
    <w:rsid w:val="00FE4CB2"/>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5740D110"/>
  <w15:chartTrackingRefBased/>
  <w15:docId w15:val="{457F659D-D5EA-4E30-BD39-445F2339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A6B"/>
    <w:rPr>
      <w:rFonts w:eastAsia="Times New Roman"/>
      <w:lang w:eastAsia="en-US"/>
    </w:rPr>
  </w:style>
  <w:style w:type="paragraph" w:styleId="Heading1">
    <w:name w:val="heading 1"/>
    <w:basedOn w:val="Normal"/>
    <w:next w:val="Normal"/>
    <w:link w:val="Virsraksts1Rakstz"/>
    <w:uiPriority w:val="9"/>
    <w:qFormat/>
    <w:rsid w:val="00994AA3"/>
    <w:pPr>
      <w:keepNext/>
      <w:jc w:val="center"/>
      <w:outlineLvl w:val="0"/>
    </w:pPr>
    <w:rPr>
      <w:b/>
      <w:bCs/>
    </w:rPr>
  </w:style>
  <w:style w:type="paragraph" w:styleId="Heading2">
    <w:name w:val="heading 2"/>
    <w:basedOn w:val="Normal"/>
    <w:next w:val="Normal"/>
    <w:link w:val="Virsraksts2Rakstz"/>
    <w:qFormat/>
    <w:rsid w:val="00994AA3"/>
    <w:pPr>
      <w:keepNext/>
      <w:tabs>
        <w:tab w:val="num" w:pos="495"/>
      </w:tabs>
      <w:ind w:left="495" w:hanging="495"/>
      <w:outlineLvl w:val="1"/>
    </w:pPr>
    <w:rPr>
      <w:b/>
    </w:rPr>
  </w:style>
  <w:style w:type="paragraph" w:styleId="Heading3">
    <w:name w:val="heading 3"/>
    <w:basedOn w:val="Normal"/>
    <w:next w:val="Normal"/>
    <w:link w:val="Virsraksts3Rakstz"/>
    <w:qFormat/>
    <w:rsid w:val="00994AA3"/>
    <w:pPr>
      <w:keepNext/>
      <w:outlineLvl w:val="2"/>
    </w:pPr>
    <w:rPr>
      <w:b/>
      <w:color w:val="FF0000"/>
      <w:sz w:val="44"/>
    </w:rPr>
  </w:style>
  <w:style w:type="paragraph" w:styleId="Heading4">
    <w:name w:val="heading 4"/>
    <w:basedOn w:val="Normal"/>
    <w:link w:val="Virsraksts4Rakstz"/>
    <w:uiPriority w:val="9"/>
    <w:qFormat/>
    <w:rsid w:val="00994AA3"/>
    <w:pPr>
      <w:spacing w:before="100" w:beforeAutospacing="1" w:after="100" w:afterAutospacing="1"/>
      <w:outlineLvl w:val="3"/>
    </w:pPr>
    <w:rPr>
      <w:b/>
      <w:bCs/>
    </w:rPr>
  </w:style>
  <w:style w:type="paragraph" w:styleId="Heading5">
    <w:name w:val="heading 5"/>
    <w:basedOn w:val="Normal"/>
    <w:next w:val="Normal"/>
    <w:link w:val="Virsraksts5Rakstz"/>
    <w:uiPriority w:val="9"/>
    <w:qFormat/>
    <w:rsid w:val="00994AA3"/>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link w:val="Heading1"/>
    <w:uiPriority w:val="9"/>
    <w:rsid w:val="00994AA3"/>
    <w:rPr>
      <w:b/>
      <w:bCs/>
      <w:sz w:val="24"/>
      <w:szCs w:val="24"/>
    </w:rPr>
  </w:style>
  <w:style w:type="character" w:customStyle="1" w:styleId="Virsraksts2Rakstz">
    <w:name w:val="Virsraksts 2 Rakstz."/>
    <w:link w:val="Heading2"/>
    <w:rsid w:val="00994AA3"/>
    <w:rPr>
      <w:b/>
      <w:sz w:val="24"/>
    </w:rPr>
  </w:style>
  <w:style w:type="character" w:customStyle="1" w:styleId="Virsraksts3Rakstz">
    <w:name w:val="Virsraksts 3 Rakstz."/>
    <w:link w:val="Heading3"/>
    <w:rsid w:val="00994AA3"/>
    <w:rPr>
      <w:b/>
      <w:color w:val="FF0000"/>
      <w:sz w:val="44"/>
    </w:rPr>
  </w:style>
  <w:style w:type="character" w:customStyle="1" w:styleId="Virsraksts4Rakstz">
    <w:name w:val="Virsraksts 4 Rakstz."/>
    <w:link w:val="Heading4"/>
    <w:uiPriority w:val="9"/>
    <w:rsid w:val="00994AA3"/>
    <w:rPr>
      <w:b/>
      <w:bCs/>
      <w:sz w:val="24"/>
      <w:szCs w:val="24"/>
    </w:rPr>
  </w:style>
  <w:style w:type="character" w:customStyle="1" w:styleId="Virsraksts5Rakstz">
    <w:name w:val="Virsraksts 5 Rakstz."/>
    <w:link w:val="Heading5"/>
    <w:uiPriority w:val="9"/>
    <w:rsid w:val="00994AA3"/>
    <w:rPr>
      <w:rFonts w:ascii="Calibri" w:hAnsi="Calibri"/>
      <w:b/>
      <w:bCs/>
      <w:i/>
      <w:iCs/>
      <w:sz w:val="26"/>
      <w:szCs w:val="26"/>
      <w:lang w:val="en-AU" w:eastAsia="x-none"/>
    </w:rPr>
  </w:style>
  <w:style w:type="paragraph" w:styleId="NoSpacing">
    <w:name w:val="No Spacing"/>
    <w:uiPriority w:val="1"/>
    <w:qFormat/>
    <w:rsid w:val="00994AA3"/>
    <w:rPr>
      <w:rFonts w:ascii="Calibri" w:hAnsi="Calibri"/>
      <w:sz w:val="22"/>
      <w:szCs w:val="22"/>
      <w:lang w:eastAsia="en-US"/>
    </w:rPr>
  </w:style>
  <w:style w:type="paragraph" w:styleId="ListParagraph">
    <w:name w:val="List Paragraph"/>
    <w:basedOn w:val="Normal"/>
    <w:uiPriority w:val="34"/>
    <w:qFormat/>
    <w:rsid w:val="00994AA3"/>
    <w:pPr>
      <w:spacing w:after="200" w:line="276" w:lineRule="auto"/>
      <w:ind w:left="720"/>
      <w:contextualSpacing/>
    </w:pPr>
    <w:rPr>
      <w:rFonts w:ascii="Calibri" w:hAnsi="Calibri"/>
      <w:sz w:val="22"/>
      <w:szCs w:val="22"/>
    </w:rPr>
  </w:style>
  <w:style w:type="paragraph" w:styleId="Quote">
    <w:name w:val="Quote"/>
    <w:basedOn w:val="Normal"/>
    <w:next w:val="Normal"/>
    <w:link w:val="CittsRakstz"/>
    <w:uiPriority w:val="29"/>
    <w:qFormat/>
    <w:rsid w:val="00994AA3"/>
    <w:rPr>
      <w:i/>
      <w:sz w:val="28"/>
      <w:szCs w:val="28"/>
    </w:rPr>
  </w:style>
  <w:style w:type="character" w:customStyle="1" w:styleId="CittsRakstz">
    <w:name w:val="Citāts Rakstz."/>
    <w:link w:val="Quote"/>
    <w:uiPriority w:val="29"/>
    <w:rsid w:val="00994AA3"/>
    <w:rPr>
      <w:i/>
      <w:sz w:val="28"/>
      <w:szCs w:val="28"/>
    </w:rPr>
  </w:style>
  <w:style w:type="paragraph" w:styleId="Header">
    <w:name w:val="header"/>
    <w:basedOn w:val="Normal"/>
    <w:link w:val="GalveneRakstz"/>
    <w:rsid w:val="00A24A6B"/>
    <w:pPr>
      <w:tabs>
        <w:tab w:val="center" w:pos="4320"/>
        <w:tab w:val="right" w:pos="8640"/>
      </w:tabs>
    </w:pPr>
    <w:rPr>
      <w:rFonts w:ascii="Arial" w:hAnsi="Arial"/>
      <w:sz w:val="24"/>
    </w:rPr>
  </w:style>
  <w:style w:type="character" w:customStyle="1" w:styleId="GalveneRakstz">
    <w:name w:val="Galvene Rakstz."/>
    <w:link w:val="Header"/>
    <w:rsid w:val="00A24A6B"/>
    <w:rPr>
      <w:rFonts w:ascii="Arial" w:eastAsia="Times New Roman" w:hAnsi="Arial"/>
      <w:sz w:val="24"/>
      <w:lang w:eastAsia="en-US"/>
    </w:rPr>
  </w:style>
  <w:style w:type="table" w:styleId="TableGrid">
    <w:name w:val="Table Grid"/>
    <w:basedOn w:val="TableNormal"/>
    <w:uiPriority w:val="3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KjeneRakstz"/>
    <w:uiPriority w:val="99"/>
    <w:unhideWhenUsed/>
    <w:rsid w:val="00CD015F"/>
    <w:pPr>
      <w:tabs>
        <w:tab w:val="center" w:pos="4153"/>
        <w:tab w:val="right" w:pos="8306"/>
      </w:tabs>
    </w:pPr>
  </w:style>
  <w:style w:type="character" w:customStyle="1" w:styleId="KjeneRakstz">
    <w:name w:val="Kājene Rakstz."/>
    <w:link w:val="Footer"/>
    <w:uiPriority w:val="99"/>
    <w:rsid w:val="00CD015F"/>
    <w:rPr>
      <w:rFonts w:eastAsia="Times New Roman"/>
      <w:lang w:eastAsia="en-US"/>
    </w:rPr>
  </w:style>
  <w:style w:type="paragraph" w:customStyle="1" w:styleId="BodyB">
    <w:name w:val="Body B"/>
    <w:rsid w:val="002079F2"/>
    <w:pPr>
      <w:pBdr>
        <w:top w:val="nil"/>
        <w:left w:val="nil"/>
        <w:bottom w:val="nil"/>
        <w:right w:val="nil"/>
        <w:between w:val="nil"/>
        <w:bar w:val="nil"/>
      </w:pBdr>
    </w:pPr>
    <w:rPr>
      <w:rFonts w:eastAsia="Arial Unicode MS" w:cs="Arial Unicode MS"/>
      <w:color w:val="000000"/>
      <w:sz w:val="24"/>
      <w:szCs w:val="24"/>
      <w:u w:color="000000"/>
      <w:bdr w:val="nil"/>
    </w:rPr>
  </w:style>
  <w:style w:type="paragraph" w:styleId="FootnoteText">
    <w:name w:val="footnote text"/>
    <w:basedOn w:val="Normal"/>
    <w:link w:val="VrestekstsRakstz"/>
    <w:uiPriority w:val="99"/>
    <w:semiHidden/>
    <w:unhideWhenUsed/>
    <w:rsid w:val="007C223A"/>
    <w:rPr>
      <w:rFonts w:asciiTheme="minorHAnsi" w:eastAsiaTheme="minorHAnsi" w:hAnsiTheme="minorHAnsi" w:cstheme="minorBidi"/>
      <w14:ligatures w14:val="standardContextual"/>
    </w:rPr>
  </w:style>
  <w:style w:type="character" w:customStyle="1" w:styleId="VrestekstsRakstz">
    <w:name w:val="Vēres teksts Rakstz."/>
    <w:basedOn w:val="DefaultParagraphFont"/>
    <w:link w:val="FootnoteText"/>
    <w:uiPriority w:val="99"/>
    <w:semiHidden/>
    <w:rsid w:val="007C223A"/>
    <w:rPr>
      <w:rFonts w:asciiTheme="minorHAnsi" w:eastAsiaTheme="minorHAnsi" w:hAnsiTheme="minorHAnsi" w:cstheme="minorBidi"/>
      <w:lang w:eastAsia="en-US"/>
      <w14:ligatures w14:val="standardContextual"/>
    </w:rPr>
  </w:style>
  <w:style w:type="character" w:styleId="FootnoteReference">
    <w:name w:val="footnote reference"/>
    <w:basedOn w:val="DefaultParagraphFont"/>
    <w:uiPriority w:val="99"/>
    <w:semiHidden/>
    <w:unhideWhenUsed/>
    <w:rsid w:val="007C223A"/>
    <w:rPr>
      <w:vertAlign w:val="superscript"/>
    </w:rPr>
  </w:style>
  <w:style w:type="character" w:styleId="Hyperlink">
    <w:name w:val="Hyperlink"/>
    <w:basedOn w:val="DefaultParagraphFont"/>
    <w:uiPriority w:val="99"/>
    <w:unhideWhenUsed/>
    <w:rsid w:val="007C22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yperlink" Target="mailto:vakcinas@spkc.gov.lv" TargetMode="Externa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inga.purenina\Desktop\SPKC\4_vestule_elektroniskais_paraksts_valsts_valoda_pilnkrasu.dotx"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4_vestule_elektroniskais_paraksts_valsts_valoda_pilnkrasu.dotx</Template>
  <TotalTime>15</TotalTime>
  <Pages>4</Pages>
  <Words>738</Words>
  <Characters>4207</Characters>
  <Application>Microsoft Office Word</Application>
  <DocSecurity>0</DocSecurity>
  <Lines>35</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Inguna Švarcbaha</cp:lastModifiedBy>
  <cp:revision>8</cp:revision>
  <cp:lastPrinted>2016-02-15T06:53:00Z</cp:lastPrinted>
  <dcterms:created xsi:type="dcterms:W3CDTF">2020-02-27T07:31:00Z</dcterms:created>
  <dcterms:modified xsi:type="dcterms:W3CDTF">2026-03-26T11:09:00Z</dcterms:modified>
</cp:coreProperties>
</file>