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A24A6B" w:rsidRPr="00D5053F" w:rsidP="003E7BBE" w14:paraId="744A97EF" w14:textId="77777777">
      <w:pPr>
        <w:spacing w:before="360"/>
        <w:jc w:val="center"/>
        <w:rPr>
          <w:sz w:val="17"/>
          <w:szCs w:val="17"/>
        </w:rPr>
      </w:pPr>
      <w:r>
        <w:rPr>
          <w:noProof/>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P="00E46A48" w14:paraId="6CB3AD86" w14:textId="77777777">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tblPr>
      <w:tblGrid>
        <w:gridCol w:w="5434"/>
        <w:gridCol w:w="3637"/>
      </w:tblGrid>
      <w:tr w14:paraId="01FA7614" w14:textId="77777777" w:rsidTr="00C5711F">
        <w:tblPrEx>
          <w:tblW w:w="0" w:type="auto"/>
          <w:tblLook w:val="04A0"/>
        </w:tblPrEx>
        <w:trPr>
          <w:trHeight w:val="313"/>
        </w:trPr>
        <w:tc>
          <w:tcPr>
            <w:tcW w:w="5495" w:type="dxa"/>
          </w:tcPr>
          <w:p w:rsidR="00222B8B" w:rsidP="00222B8B" w14:paraId="4414D7B4" w14:textId="7CAB3D38">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1-8.2/2026/895</w:t>
            </w:r>
          </w:p>
          <w:p w:rsidR="002079F2" w:rsidRPr="00CB2202" w:rsidP="00222B8B" w14:paraId="6EA3EF20" w14:textId="64954CEF">
            <w:pPr>
              <w:tabs>
                <w:tab w:val="left" w:pos="0"/>
                <w:tab w:val="left" w:pos="7371"/>
              </w:tabs>
              <w:rPr>
                <w:sz w:val="24"/>
                <w:szCs w:val="24"/>
              </w:rPr>
            </w:pPr>
          </w:p>
        </w:tc>
        <w:tc>
          <w:tcPr>
            <w:tcW w:w="3685" w:type="dxa"/>
          </w:tcPr>
          <w:p w:rsidR="00FC6C93" w:rsidP="00222B8B" w14:paraId="4076657A" w14:textId="77777777">
            <w:pPr>
              <w:tabs>
                <w:tab w:val="left" w:pos="0"/>
                <w:tab w:val="left" w:pos="7371"/>
              </w:tabs>
              <w:rPr>
                <w:noProof/>
                <w:sz w:val="24"/>
                <w:szCs w:val="24"/>
              </w:rPr>
            </w:pPr>
            <w:r>
              <w:rPr>
                <w:noProof/>
                <w:sz w:val="24"/>
                <w:szCs w:val="24"/>
              </w:rPr>
              <w:t>Latvijas Lauku ģimenes ārstu asociācija</w:t>
            </w:r>
          </w:p>
          <w:p w:rsidR="00FC6C93" w:rsidP="00222B8B" w14:paraId="16719A8F" w14:textId="1B7BC2C4">
            <w:pPr>
              <w:tabs>
                <w:tab w:val="left" w:pos="0"/>
                <w:tab w:val="left" w:pos="7371"/>
              </w:tabs>
              <w:rPr>
                <w:noProof/>
                <w:sz w:val="24"/>
                <w:szCs w:val="24"/>
              </w:rPr>
            </w:pPr>
            <w:r>
              <w:rPr>
                <w:noProof/>
                <w:sz w:val="24"/>
                <w:szCs w:val="24"/>
              </w:rPr>
              <w:t>Latvijas Ģimenes ārstu asociācija</w:t>
            </w:r>
          </w:p>
          <w:p w:rsidR="00FC6C93" w:rsidP="00222B8B" w14:paraId="6A7857D6" w14:textId="77777777">
            <w:pPr>
              <w:tabs>
                <w:tab w:val="left" w:pos="0"/>
                <w:tab w:val="left" w:pos="7371"/>
              </w:tabs>
              <w:rPr>
                <w:noProof/>
                <w:sz w:val="24"/>
                <w:szCs w:val="24"/>
              </w:rPr>
            </w:pPr>
          </w:p>
          <w:p w:rsidR="00FC6C93" w:rsidRPr="00FC6C93" w:rsidP="00222B8B" w14:paraId="42E17DC4" w14:textId="77777777">
            <w:pPr>
              <w:tabs>
                <w:tab w:val="left" w:pos="0"/>
                <w:tab w:val="left" w:pos="7371"/>
              </w:tabs>
              <w:rPr>
                <w:i/>
                <w:iCs/>
                <w:noProof/>
                <w:sz w:val="24"/>
                <w:szCs w:val="24"/>
              </w:rPr>
            </w:pPr>
            <w:r w:rsidRPr="00FC6C93">
              <w:rPr>
                <w:i/>
                <w:iCs/>
                <w:noProof/>
                <w:sz w:val="24"/>
                <w:szCs w:val="24"/>
              </w:rPr>
              <w:t>Informācijai:</w:t>
            </w:r>
          </w:p>
          <w:p w:rsidR="00FC6C93" w:rsidP="00222B8B" w14:paraId="7CFB93FE" w14:textId="77777777">
            <w:pPr>
              <w:tabs>
                <w:tab w:val="left" w:pos="0"/>
                <w:tab w:val="left" w:pos="7371"/>
              </w:tabs>
              <w:rPr>
                <w:noProof/>
                <w:sz w:val="24"/>
                <w:szCs w:val="24"/>
              </w:rPr>
            </w:pPr>
            <w:r>
              <w:rPr>
                <w:noProof/>
                <w:sz w:val="24"/>
                <w:szCs w:val="24"/>
              </w:rPr>
              <w:t>Latvijas Republikas Veselības ministrija</w:t>
            </w:r>
          </w:p>
          <w:p w:rsidR="00FC6C93" w:rsidP="00222B8B" w14:paraId="5B63ABD8" w14:textId="77777777">
            <w:pPr>
              <w:tabs>
                <w:tab w:val="left" w:pos="0"/>
                <w:tab w:val="left" w:pos="7371"/>
              </w:tabs>
              <w:rPr>
                <w:noProof/>
                <w:sz w:val="24"/>
                <w:szCs w:val="24"/>
              </w:rPr>
            </w:pPr>
            <w:r>
              <w:rPr>
                <w:noProof/>
                <w:sz w:val="24"/>
                <w:szCs w:val="24"/>
              </w:rPr>
              <w:t>Nacionālais veselības dienests</w:t>
            </w:r>
          </w:p>
          <w:p w:rsidR="002079F2" w:rsidP="00222B8B" w14:paraId="57B97CED" w14:textId="1E6F7ABB">
            <w:pPr>
              <w:tabs>
                <w:tab w:val="left" w:pos="0"/>
                <w:tab w:val="left" w:pos="7371"/>
              </w:tabs>
              <w:rPr>
                <w:sz w:val="24"/>
                <w:szCs w:val="24"/>
              </w:rPr>
            </w:pPr>
            <w:r>
              <w:rPr>
                <w:noProof/>
                <w:sz w:val="24"/>
                <w:szCs w:val="24"/>
              </w:rPr>
              <w:t>Imunizācijas valsts padome</w:t>
            </w:r>
          </w:p>
        </w:tc>
      </w:tr>
    </w:tbl>
    <w:p w:rsidR="002079F2" w:rsidRPr="00195A3A" w:rsidP="002079F2" w14:paraId="009098EA" w14:textId="77777777">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vakcināciju pret masalām</w:t>
      </w:r>
    </w:p>
    <w:p w:rsidR="004B736B" w:rsidRPr="004B736B" w:rsidP="004B736B" w14:paraId="72B91697" w14:textId="77777777">
      <w:pPr>
        <w:ind w:firstLine="720"/>
        <w:jc w:val="both"/>
        <w:rPr>
          <w:sz w:val="24"/>
          <w:szCs w:val="24"/>
        </w:rPr>
      </w:pPr>
      <w:r w:rsidRPr="004B736B">
        <w:rPr>
          <w:sz w:val="24"/>
          <w:szCs w:val="24"/>
        </w:rPr>
        <w:t>Slimību profilakses un kontroles centrs (turpmāk – Centrs), ņemot vērā pašreizējā masalu uzliesmojuma attīstību</w:t>
      </w:r>
      <w:r>
        <w:rPr>
          <w:rStyle w:val="FootnoteReference"/>
          <w:sz w:val="24"/>
          <w:szCs w:val="24"/>
        </w:rPr>
        <w:footnoteReference w:id="2"/>
      </w:r>
      <w:r w:rsidRPr="004B736B">
        <w:rPr>
          <w:sz w:val="24"/>
          <w:szCs w:val="24"/>
        </w:rPr>
        <w:t xml:space="preserve"> un infekcijas augsto turpmākās izplatīšanās risku nevakcinētu un daļēji vakcinētu (saņemta tikai viena vakcīnas deva) personu vidū, ir veicis Vienotās veselības nozares elektroniskās informācijas sistēmā (E-veselības sistēma) reģistrēto vakcinācijas faktu pret masalu infekciju padziļinātu analīzi</w:t>
      </w:r>
      <w:r>
        <w:rPr>
          <w:rStyle w:val="FootnoteReference"/>
          <w:sz w:val="24"/>
          <w:szCs w:val="24"/>
        </w:rPr>
        <w:footnoteReference w:id="3"/>
      </w:r>
      <w:r w:rsidRPr="004B736B">
        <w:rPr>
          <w:sz w:val="24"/>
          <w:szCs w:val="24"/>
        </w:rPr>
        <w:t xml:space="preserve"> ģimenes ārstu prakšu griezumā un ir konstatējis šādus faktus:</w:t>
      </w:r>
    </w:p>
    <w:p w:rsidR="004B736B" w:rsidRPr="004B736B" w:rsidP="004B736B" w14:paraId="41A4838F" w14:textId="77777777">
      <w:pPr>
        <w:pStyle w:val="ListParagraph"/>
        <w:numPr>
          <w:ilvl w:val="0"/>
          <w:numId w:val="5"/>
        </w:numPr>
        <w:spacing w:after="0" w:line="278" w:lineRule="auto"/>
        <w:jc w:val="both"/>
        <w:rPr>
          <w:rFonts w:ascii="Times New Roman" w:hAnsi="Times New Roman"/>
          <w:sz w:val="24"/>
          <w:szCs w:val="24"/>
        </w:rPr>
      </w:pPr>
      <w:r w:rsidRPr="004B736B">
        <w:rPr>
          <w:rFonts w:ascii="Times New Roman" w:hAnsi="Times New Roman"/>
          <w:sz w:val="24"/>
          <w:szCs w:val="24"/>
        </w:rPr>
        <w:t>1 020 ģimenes ārstu praksēs uz 10.02.2026. bija reģistrēti 50 645 pacienti analizētajās vecuma grupās;</w:t>
      </w:r>
    </w:p>
    <w:p w:rsidR="004B736B" w:rsidRPr="004B736B" w:rsidP="004B736B" w14:paraId="5F57E395" w14:textId="77777777">
      <w:pPr>
        <w:pStyle w:val="ListParagraph"/>
        <w:numPr>
          <w:ilvl w:val="0"/>
          <w:numId w:val="5"/>
        </w:numPr>
        <w:spacing w:after="0" w:line="278" w:lineRule="auto"/>
        <w:jc w:val="both"/>
        <w:rPr>
          <w:rFonts w:ascii="Times New Roman" w:hAnsi="Times New Roman"/>
          <w:sz w:val="24"/>
          <w:szCs w:val="24"/>
        </w:rPr>
      </w:pPr>
      <w:r w:rsidRPr="004B736B">
        <w:rPr>
          <w:rFonts w:ascii="Times New Roman" w:hAnsi="Times New Roman"/>
          <w:sz w:val="24"/>
          <w:szCs w:val="24"/>
        </w:rPr>
        <w:t>no tiem 43 058 (85,02%) pacienti ir vakcinēti atbilstoši aprakstītajiem nosacījumiem;</w:t>
      </w:r>
    </w:p>
    <w:p w:rsidR="004B736B" w:rsidRPr="004B736B" w:rsidP="004B736B" w14:paraId="49C2B4C7" w14:textId="77777777">
      <w:pPr>
        <w:pStyle w:val="ListParagraph"/>
        <w:numPr>
          <w:ilvl w:val="0"/>
          <w:numId w:val="5"/>
        </w:numPr>
        <w:spacing w:after="0" w:line="278" w:lineRule="auto"/>
        <w:jc w:val="both"/>
        <w:rPr>
          <w:rFonts w:ascii="Times New Roman" w:hAnsi="Times New Roman"/>
          <w:sz w:val="24"/>
          <w:szCs w:val="24"/>
        </w:rPr>
      </w:pPr>
      <w:r w:rsidRPr="004B736B">
        <w:rPr>
          <w:rFonts w:ascii="Times New Roman" w:hAnsi="Times New Roman"/>
          <w:sz w:val="24"/>
          <w:szCs w:val="24"/>
        </w:rPr>
        <w:t>7 587 (14,98%) pacienti nav vakcinēti pret masalām, tostarp nav vakcinēti:</w:t>
      </w:r>
    </w:p>
    <w:p w:rsidR="004B736B" w:rsidRPr="004B736B" w:rsidP="004B736B" w14:paraId="4D9E147A" w14:textId="77777777">
      <w:pPr>
        <w:pStyle w:val="ListParagraph"/>
        <w:numPr>
          <w:ilvl w:val="1"/>
          <w:numId w:val="5"/>
        </w:numPr>
        <w:spacing w:after="0" w:line="278" w:lineRule="auto"/>
        <w:jc w:val="both"/>
        <w:rPr>
          <w:rFonts w:ascii="Times New Roman" w:hAnsi="Times New Roman"/>
          <w:sz w:val="24"/>
          <w:szCs w:val="24"/>
        </w:rPr>
      </w:pPr>
      <w:r w:rsidRPr="004B736B">
        <w:rPr>
          <w:rFonts w:ascii="Times New Roman" w:hAnsi="Times New Roman"/>
          <w:sz w:val="24"/>
          <w:szCs w:val="24"/>
        </w:rPr>
        <w:t>1 696 (15,4%) 16–24 mēnešus veci bērni;</w:t>
      </w:r>
    </w:p>
    <w:p w:rsidR="004B736B" w:rsidRPr="004B736B" w:rsidP="004B736B" w14:paraId="44847286" w14:textId="77777777">
      <w:pPr>
        <w:pStyle w:val="ListParagraph"/>
        <w:numPr>
          <w:ilvl w:val="1"/>
          <w:numId w:val="5"/>
        </w:numPr>
        <w:spacing w:after="0" w:line="278" w:lineRule="auto"/>
        <w:jc w:val="both"/>
        <w:rPr>
          <w:rFonts w:ascii="Times New Roman" w:hAnsi="Times New Roman"/>
          <w:sz w:val="24"/>
          <w:szCs w:val="24"/>
        </w:rPr>
      </w:pPr>
      <w:r w:rsidRPr="004B736B">
        <w:rPr>
          <w:rFonts w:ascii="Times New Roman" w:hAnsi="Times New Roman"/>
          <w:sz w:val="24"/>
          <w:szCs w:val="24"/>
        </w:rPr>
        <w:t>1 556 (10,1%) 25–36 mēnešus veci bērni;</w:t>
      </w:r>
    </w:p>
    <w:p w:rsidR="004B736B" w:rsidRPr="004B736B" w:rsidP="004B736B" w14:paraId="282A4F3B" w14:textId="77777777">
      <w:pPr>
        <w:pStyle w:val="ListParagraph"/>
        <w:numPr>
          <w:ilvl w:val="1"/>
          <w:numId w:val="5"/>
        </w:numPr>
        <w:spacing w:after="0" w:line="278" w:lineRule="auto"/>
        <w:jc w:val="both"/>
        <w:rPr>
          <w:rFonts w:ascii="Times New Roman" w:hAnsi="Times New Roman"/>
          <w:sz w:val="24"/>
          <w:szCs w:val="24"/>
        </w:rPr>
      </w:pPr>
      <w:r w:rsidRPr="004B736B">
        <w:rPr>
          <w:rFonts w:ascii="Times New Roman" w:hAnsi="Times New Roman"/>
          <w:sz w:val="24"/>
          <w:szCs w:val="24"/>
        </w:rPr>
        <w:t>4 335 (17,8%) 8–9 gadus veci bērni (revakcinācija).</w:t>
      </w:r>
    </w:p>
    <w:p w:rsidR="004B736B" w14:paraId="1F6D7BEC" w14:textId="77777777">
      <w:pPr>
        <w:rPr>
          <w:sz w:val="24"/>
          <w:szCs w:val="24"/>
        </w:rPr>
      </w:pPr>
      <w:r>
        <w:rPr>
          <w:sz w:val="24"/>
          <w:szCs w:val="24"/>
        </w:rPr>
        <w:br w:type="page"/>
      </w:r>
    </w:p>
    <w:p w:rsidR="004B736B" w:rsidRPr="004B736B" w:rsidP="004B736B" w14:paraId="7A2E4805" w14:textId="47FF124A">
      <w:pPr>
        <w:ind w:firstLine="720"/>
        <w:jc w:val="both"/>
        <w:rPr>
          <w:sz w:val="24"/>
          <w:szCs w:val="24"/>
        </w:rPr>
      </w:pPr>
      <w:r w:rsidRPr="004B736B">
        <w:rPr>
          <w:sz w:val="24"/>
          <w:szCs w:val="24"/>
        </w:rPr>
        <w:t>Centrs apkopoja vakcinācijas aptveri pa reģioniem atbilstoši norādītajai ģimenes ārsta prakses vietai, un rezultāti ir apkopoti tabulā:</w:t>
      </w:r>
    </w:p>
    <w:p w:rsidR="004B736B" w:rsidRPr="004B736B" w:rsidP="004B736B" w14:paraId="5C8DF3DB" w14:textId="77777777">
      <w:pPr>
        <w:ind w:firstLine="720"/>
        <w:jc w:val="both"/>
        <w:rPr>
          <w:sz w:val="24"/>
          <w:szCs w:val="24"/>
        </w:rPr>
      </w:pPr>
    </w:p>
    <w:tbl>
      <w:tblPr>
        <w:tblStyle w:val="TableGrid"/>
        <w:tblW w:w="8750" w:type="dxa"/>
        <w:tblLook w:val="04A0"/>
      </w:tblPr>
      <w:tblGrid>
        <w:gridCol w:w="1390"/>
        <w:gridCol w:w="1220"/>
        <w:gridCol w:w="1576"/>
        <w:gridCol w:w="1445"/>
        <w:gridCol w:w="1077"/>
        <w:gridCol w:w="1041"/>
        <w:gridCol w:w="1001"/>
      </w:tblGrid>
      <w:tr w14:paraId="36FC0EC1" w14:textId="77777777" w:rsidTr="004B736B">
        <w:tblPrEx>
          <w:tblW w:w="8750" w:type="dxa"/>
          <w:tblLook w:val="04A0"/>
        </w:tblPrEx>
        <w:trPr>
          <w:trHeight w:val="865"/>
          <w:tblHeader/>
        </w:trPr>
        <w:tc>
          <w:tcPr>
            <w:tcW w:w="1390" w:type="dxa"/>
            <w:vMerge w:val="restart"/>
            <w:hideMark/>
          </w:tcPr>
          <w:p w:rsidR="004B736B" w:rsidRPr="004B736B" w:rsidP="000D4A43" w14:paraId="4CD10521" w14:textId="77777777">
            <w:pPr>
              <w:jc w:val="center"/>
              <w:rPr>
                <w:sz w:val="24"/>
                <w:szCs w:val="24"/>
              </w:rPr>
            </w:pPr>
            <w:r w:rsidRPr="004B736B">
              <w:rPr>
                <w:sz w:val="24"/>
                <w:szCs w:val="24"/>
              </w:rPr>
              <w:t>Reģions</w:t>
            </w:r>
          </w:p>
        </w:tc>
        <w:tc>
          <w:tcPr>
            <w:tcW w:w="1220" w:type="dxa"/>
            <w:vMerge w:val="restart"/>
            <w:hideMark/>
          </w:tcPr>
          <w:p w:rsidR="004B736B" w:rsidRPr="004B736B" w:rsidP="000D4A43" w14:paraId="09BEA466" w14:textId="77777777">
            <w:pPr>
              <w:jc w:val="center"/>
              <w:rPr>
                <w:sz w:val="24"/>
                <w:szCs w:val="24"/>
              </w:rPr>
            </w:pPr>
            <w:r w:rsidRPr="004B736B">
              <w:rPr>
                <w:sz w:val="24"/>
                <w:szCs w:val="24"/>
              </w:rPr>
              <w:t>Kopā pacienti attiecīgajā vecuma grupā</w:t>
            </w:r>
          </w:p>
        </w:tc>
        <w:tc>
          <w:tcPr>
            <w:tcW w:w="1455" w:type="dxa"/>
            <w:vMerge w:val="restart"/>
            <w:hideMark/>
          </w:tcPr>
          <w:p w:rsidR="004B736B" w:rsidRPr="004B736B" w:rsidP="000D4A43" w14:paraId="71B5959F" w14:textId="77777777">
            <w:pPr>
              <w:jc w:val="center"/>
              <w:rPr>
                <w:sz w:val="24"/>
                <w:szCs w:val="24"/>
              </w:rPr>
            </w:pPr>
            <w:r w:rsidRPr="004B736B">
              <w:rPr>
                <w:sz w:val="24"/>
                <w:szCs w:val="24"/>
              </w:rPr>
              <w:t>Vakcinēti atbilstoši iepriekš aprakstītajiem nosacījumiem</w:t>
            </w:r>
          </w:p>
        </w:tc>
        <w:tc>
          <w:tcPr>
            <w:tcW w:w="1445" w:type="dxa"/>
            <w:vMerge w:val="restart"/>
            <w:hideMark/>
          </w:tcPr>
          <w:p w:rsidR="004B736B" w:rsidRPr="004B736B" w:rsidP="000D4A43" w14:paraId="5E39FA48" w14:textId="77777777">
            <w:pPr>
              <w:jc w:val="center"/>
              <w:rPr>
                <w:sz w:val="24"/>
                <w:szCs w:val="24"/>
              </w:rPr>
            </w:pPr>
            <w:r w:rsidRPr="004B736B">
              <w:rPr>
                <w:sz w:val="24"/>
                <w:szCs w:val="24"/>
              </w:rPr>
              <w:t>Procentuāli no kopējā pacientu skaita vecuma grupā</w:t>
            </w:r>
          </w:p>
        </w:tc>
        <w:tc>
          <w:tcPr>
            <w:tcW w:w="3240" w:type="dxa"/>
            <w:gridSpan w:val="3"/>
          </w:tcPr>
          <w:p w:rsidR="004B736B" w:rsidRPr="004B736B" w:rsidP="000D4A43" w14:paraId="7143905E" w14:textId="77777777">
            <w:pPr>
              <w:jc w:val="center"/>
              <w:rPr>
                <w:sz w:val="24"/>
                <w:szCs w:val="24"/>
              </w:rPr>
            </w:pPr>
            <w:r w:rsidRPr="004B736B">
              <w:rPr>
                <w:sz w:val="24"/>
                <w:szCs w:val="24"/>
              </w:rPr>
              <w:t>Procentuāli vakcinācijas aptvere no kopējā pacientu skaits vecuma grupā</w:t>
            </w:r>
          </w:p>
          <w:p w:rsidR="004B736B" w:rsidRPr="004B736B" w:rsidP="000D4A43" w14:paraId="48065BC9" w14:textId="77777777">
            <w:pPr>
              <w:jc w:val="center"/>
              <w:rPr>
                <w:sz w:val="24"/>
                <w:szCs w:val="24"/>
              </w:rPr>
            </w:pPr>
            <w:r w:rsidRPr="004B736B">
              <w:rPr>
                <w:sz w:val="24"/>
                <w:szCs w:val="24"/>
              </w:rPr>
              <w:t xml:space="preserve"> </w:t>
            </w:r>
          </w:p>
        </w:tc>
      </w:tr>
      <w:tr w14:paraId="127239B5" w14:textId="77777777" w:rsidTr="000D4A43">
        <w:tblPrEx>
          <w:tblW w:w="8750" w:type="dxa"/>
          <w:tblLook w:val="04A0"/>
        </w:tblPrEx>
        <w:trPr>
          <w:trHeight w:val="290"/>
        </w:trPr>
        <w:tc>
          <w:tcPr>
            <w:tcW w:w="1390" w:type="dxa"/>
            <w:vMerge/>
            <w:noWrap/>
            <w:hideMark/>
          </w:tcPr>
          <w:p w:rsidR="004B736B" w:rsidRPr="004B736B" w:rsidP="000D4A43" w14:paraId="7ECEC8B1" w14:textId="77777777">
            <w:pPr>
              <w:rPr>
                <w:sz w:val="24"/>
                <w:szCs w:val="24"/>
              </w:rPr>
            </w:pPr>
          </w:p>
        </w:tc>
        <w:tc>
          <w:tcPr>
            <w:tcW w:w="1220" w:type="dxa"/>
            <w:vMerge/>
            <w:noWrap/>
            <w:hideMark/>
          </w:tcPr>
          <w:p w:rsidR="004B736B" w:rsidRPr="004B736B" w:rsidP="000D4A43" w14:paraId="5DF6328C" w14:textId="77777777">
            <w:pPr>
              <w:rPr>
                <w:sz w:val="24"/>
                <w:szCs w:val="24"/>
              </w:rPr>
            </w:pPr>
          </w:p>
        </w:tc>
        <w:tc>
          <w:tcPr>
            <w:tcW w:w="1455" w:type="dxa"/>
            <w:vMerge/>
            <w:noWrap/>
            <w:hideMark/>
          </w:tcPr>
          <w:p w:rsidR="004B736B" w:rsidRPr="004B736B" w:rsidP="000D4A43" w14:paraId="48FE15A0" w14:textId="77777777">
            <w:pPr>
              <w:rPr>
                <w:sz w:val="24"/>
                <w:szCs w:val="24"/>
              </w:rPr>
            </w:pPr>
          </w:p>
        </w:tc>
        <w:tc>
          <w:tcPr>
            <w:tcW w:w="1445" w:type="dxa"/>
            <w:vMerge/>
            <w:noWrap/>
            <w:hideMark/>
          </w:tcPr>
          <w:p w:rsidR="004B736B" w:rsidRPr="004B736B" w:rsidP="000D4A43" w14:paraId="56908320" w14:textId="77777777">
            <w:pPr>
              <w:rPr>
                <w:sz w:val="24"/>
                <w:szCs w:val="24"/>
              </w:rPr>
            </w:pPr>
          </w:p>
        </w:tc>
        <w:tc>
          <w:tcPr>
            <w:tcW w:w="1125" w:type="dxa"/>
          </w:tcPr>
          <w:p w:rsidR="004B736B" w:rsidRPr="004B736B" w:rsidP="000D4A43" w14:paraId="010340F7" w14:textId="77777777">
            <w:pPr>
              <w:jc w:val="center"/>
              <w:rPr>
                <w:sz w:val="24"/>
                <w:szCs w:val="24"/>
              </w:rPr>
            </w:pPr>
            <w:r w:rsidRPr="004B736B">
              <w:rPr>
                <w:sz w:val="24"/>
                <w:szCs w:val="24"/>
              </w:rPr>
              <w:t>16–24 mēneši</w:t>
            </w:r>
          </w:p>
        </w:tc>
        <w:tc>
          <w:tcPr>
            <w:tcW w:w="1080" w:type="dxa"/>
          </w:tcPr>
          <w:p w:rsidR="004B736B" w:rsidRPr="004B736B" w:rsidP="000D4A43" w14:paraId="74DFEB24" w14:textId="77777777">
            <w:pPr>
              <w:jc w:val="center"/>
              <w:rPr>
                <w:sz w:val="24"/>
                <w:szCs w:val="24"/>
              </w:rPr>
            </w:pPr>
            <w:r w:rsidRPr="004B736B">
              <w:rPr>
                <w:sz w:val="24"/>
                <w:szCs w:val="24"/>
              </w:rPr>
              <w:t>25–36 mēneši</w:t>
            </w:r>
          </w:p>
        </w:tc>
        <w:tc>
          <w:tcPr>
            <w:tcW w:w="1035" w:type="dxa"/>
          </w:tcPr>
          <w:p w:rsidR="004B736B" w:rsidRPr="004B736B" w:rsidP="000D4A43" w14:paraId="4D4CB2BF" w14:textId="77777777">
            <w:pPr>
              <w:jc w:val="center"/>
              <w:rPr>
                <w:sz w:val="24"/>
                <w:szCs w:val="24"/>
              </w:rPr>
            </w:pPr>
            <w:r w:rsidRPr="004B736B">
              <w:rPr>
                <w:sz w:val="24"/>
                <w:szCs w:val="24"/>
              </w:rPr>
              <w:t>8–9 gadi</w:t>
            </w:r>
          </w:p>
        </w:tc>
      </w:tr>
      <w:tr w14:paraId="2ADF7787" w14:textId="77777777" w:rsidTr="000D4A43">
        <w:tblPrEx>
          <w:tblW w:w="8750" w:type="dxa"/>
          <w:tblLook w:val="04A0"/>
        </w:tblPrEx>
        <w:trPr>
          <w:trHeight w:val="290"/>
        </w:trPr>
        <w:tc>
          <w:tcPr>
            <w:tcW w:w="1390" w:type="dxa"/>
            <w:noWrap/>
            <w:hideMark/>
          </w:tcPr>
          <w:p w:rsidR="004B736B" w:rsidRPr="004B736B" w:rsidP="000D4A43" w14:paraId="431C92F2" w14:textId="77777777">
            <w:pPr>
              <w:jc w:val="both"/>
              <w:rPr>
                <w:sz w:val="24"/>
                <w:szCs w:val="24"/>
              </w:rPr>
            </w:pPr>
            <w:r w:rsidRPr="004B736B">
              <w:rPr>
                <w:sz w:val="24"/>
                <w:szCs w:val="24"/>
              </w:rPr>
              <w:t>Zemgale</w:t>
            </w:r>
          </w:p>
        </w:tc>
        <w:tc>
          <w:tcPr>
            <w:tcW w:w="1220" w:type="dxa"/>
            <w:noWrap/>
            <w:hideMark/>
          </w:tcPr>
          <w:p w:rsidR="004B736B" w:rsidRPr="004B736B" w:rsidP="000D4A43" w14:paraId="3A3E1E9D" w14:textId="77777777">
            <w:pPr>
              <w:jc w:val="right"/>
              <w:rPr>
                <w:sz w:val="24"/>
                <w:szCs w:val="24"/>
              </w:rPr>
            </w:pPr>
            <w:r w:rsidRPr="004B736B">
              <w:rPr>
                <w:sz w:val="24"/>
                <w:szCs w:val="24"/>
              </w:rPr>
              <w:t>7 833</w:t>
            </w:r>
          </w:p>
        </w:tc>
        <w:tc>
          <w:tcPr>
            <w:tcW w:w="1455" w:type="dxa"/>
            <w:noWrap/>
            <w:hideMark/>
          </w:tcPr>
          <w:p w:rsidR="004B736B" w:rsidRPr="004B736B" w:rsidP="000D4A43" w14:paraId="7C29388F" w14:textId="77777777">
            <w:pPr>
              <w:jc w:val="right"/>
              <w:rPr>
                <w:sz w:val="24"/>
                <w:szCs w:val="24"/>
              </w:rPr>
            </w:pPr>
            <w:r w:rsidRPr="004B736B">
              <w:rPr>
                <w:sz w:val="24"/>
                <w:szCs w:val="24"/>
              </w:rPr>
              <w:t>7 061</w:t>
            </w:r>
          </w:p>
        </w:tc>
        <w:tc>
          <w:tcPr>
            <w:tcW w:w="1445" w:type="dxa"/>
            <w:noWrap/>
            <w:hideMark/>
          </w:tcPr>
          <w:p w:rsidR="004B736B" w:rsidRPr="004B736B" w:rsidP="000D4A43" w14:paraId="546BC9BF" w14:textId="77777777">
            <w:pPr>
              <w:jc w:val="right"/>
              <w:rPr>
                <w:sz w:val="24"/>
                <w:szCs w:val="24"/>
              </w:rPr>
            </w:pPr>
            <w:r w:rsidRPr="004B736B">
              <w:rPr>
                <w:sz w:val="24"/>
                <w:szCs w:val="24"/>
              </w:rPr>
              <w:t>90.1%</w:t>
            </w:r>
          </w:p>
        </w:tc>
        <w:tc>
          <w:tcPr>
            <w:tcW w:w="1125" w:type="dxa"/>
          </w:tcPr>
          <w:p w:rsidR="004B736B" w:rsidRPr="004B736B" w:rsidP="000D4A43" w14:paraId="462791B5" w14:textId="77777777">
            <w:pPr>
              <w:jc w:val="right"/>
              <w:rPr>
                <w:sz w:val="24"/>
                <w:szCs w:val="24"/>
              </w:rPr>
            </w:pPr>
            <w:r w:rsidRPr="004B736B">
              <w:rPr>
                <w:sz w:val="24"/>
                <w:szCs w:val="24"/>
              </w:rPr>
              <w:t>90,2%</w:t>
            </w:r>
          </w:p>
        </w:tc>
        <w:tc>
          <w:tcPr>
            <w:tcW w:w="1080" w:type="dxa"/>
          </w:tcPr>
          <w:p w:rsidR="004B736B" w:rsidRPr="004B736B" w:rsidP="000D4A43" w14:paraId="770DA71D" w14:textId="77777777">
            <w:pPr>
              <w:jc w:val="right"/>
              <w:rPr>
                <w:sz w:val="24"/>
                <w:szCs w:val="24"/>
              </w:rPr>
            </w:pPr>
            <w:r w:rsidRPr="004B736B">
              <w:rPr>
                <w:sz w:val="24"/>
                <w:szCs w:val="24"/>
              </w:rPr>
              <w:t>93,3%</w:t>
            </w:r>
          </w:p>
        </w:tc>
        <w:tc>
          <w:tcPr>
            <w:tcW w:w="1035" w:type="dxa"/>
          </w:tcPr>
          <w:p w:rsidR="004B736B" w:rsidRPr="004B736B" w:rsidP="000D4A43" w14:paraId="61D105FC" w14:textId="77777777">
            <w:pPr>
              <w:jc w:val="right"/>
              <w:rPr>
                <w:sz w:val="24"/>
                <w:szCs w:val="24"/>
              </w:rPr>
            </w:pPr>
            <w:r w:rsidRPr="004B736B">
              <w:rPr>
                <w:sz w:val="24"/>
                <w:szCs w:val="24"/>
              </w:rPr>
              <w:t>88,1%</w:t>
            </w:r>
          </w:p>
        </w:tc>
      </w:tr>
      <w:tr w14:paraId="54F5F61D" w14:textId="77777777" w:rsidTr="000D4A43">
        <w:tblPrEx>
          <w:tblW w:w="8750" w:type="dxa"/>
          <w:tblLook w:val="04A0"/>
        </w:tblPrEx>
        <w:trPr>
          <w:trHeight w:val="290"/>
        </w:trPr>
        <w:tc>
          <w:tcPr>
            <w:tcW w:w="1390" w:type="dxa"/>
            <w:noWrap/>
            <w:hideMark/>
          </w:tcPr>
          <w:p w:rsidR="004B736B" w:rsidRPr="004B736B" w:rsidP="000D4A43" w14:paraId="59F94DDC" w14:textId="77777777">
            <w:pPr>
              <w:jc w:val="both"/>
              <w:rPr>
                <w:sz w:val="24"/>
                <w:szCs w:val="24"/>
              </w:rPr>
            </w:pPr>
            <w:r w:rsidRPr="004B736B">
              <w:rPr>
                <w:sz w:val="24"/>
                <w:szCs w:val="24"/>
              </w:rPr>
              <w:t>Vidzeme</w:t>
            </w:r>
          </w:p>
        </w:tc>
        <w:tc>
          <w:tcPr>
            <w:tcW w:w="1220" w:type="dxa"/>
            <w:noWrap/>
            <w:hideMark/>
          </w:tcPr>
          <w:p w:rsidR="004B736B" w:rsidRPr="004B736B" w:rsidP="000D4A43" w14:paraId="4C2CC644" w14:textId="77777777">
            <w:pPr>
              <w:jc w:val="right"/>
              <w:rPr>
                <w:sz w:val="24"/>
                <w:szCs w:val="24"/>
              </w:rPr>
            </w:pPr>
            <w:r w:rsidRPr="004B736B">
              <w:rPr>
                <w:sz w:val="24"/>
                <w:szCs w:val="24"/>
              </w:rPr>
              <w:t>6 135</w:t>
            </w:r>
          </w:p>
        </w:tc>
        <w:tc>
          <w:tcPr>
            <w:tcW w:w="1455" w:type="dxa"/>
            <w:noWrap/>
            <w:hideMark/>
          </w:tcPr>
          <w:p w:rsidR="004B736B" w:rsidRPr="004B736B" w:rsidP="000D4A43" w14:paraId="6CBEF445" w14:textId="77777777">
            <w:pPr>
              <w:jc w:val="right"/>
              <w:rPr>
                <w:sz w:val="24"/>
                <w:szCs w:val="24"/>
              </w:rPr>
            </w:pPr>
            <w:r w:rsidRPr="004B736B">
              <w:rPr>
                <w:sz w:val="24"/>
                <w:szCs w:val="24"/>
              </w:rPr>
              <w:t>5 361</w:t>
            </w:r>
          </w:p>
        </w:tc>
        <w:tc>
          <w:tcPr>
            <w:tcW w:w="1445" w:type="dxa"/>
            <w:noWrap/>
            <w:hideMark/>
          </w:tcPr>
          <w:p w:rsidR="004B736B" w:rsidRPr="004B736B" w:rsidP="000D4A43" w14:paraId="74ADE589" w14:textId="77777777">
            <w:pPr>
              <w:jc w:val="right"/>
              <w:rPr>
                <w:sz w:val="24"/>
                <w:szCs w:val="24"/>
              </w:rPr>
            </w:pPr>
            <w:r w:rsidRPr="004B736B">
              <w:rPr>
                <w:sz w:val="24"/>
                <w:szCs w:val="24"/>
              </w:rPr>
              <w:t>87.4%</w:t>
            </w:r>
          </w:p>
        </w:tc>
        <w:tc>
          <w:tcPr>
            <w:tcW w:w="1125" w:type="dxa"/>
          </w:tcPr>
          <w:p w:rsidR="004B736B" w:rsidRPr="004B736B" w:rsidP="000D4A43" w14:paraId="4E4BBD51" w14:textId="77777777">
            <w:pPr>
              <w:jc w:val="right"/>
              <w:rPr>
                <w:sz w:val="24"/>
                <w:szCs w:val="24"/>
              </w:rPr>
            </w:pPr>
            <w:r w:rsidRPr="004B736B">
              <w:rPr>
                <w:sz w:val="24"/>
                <w:szCs w:val="24"/>
              </w:rPr>
              <w:t>82,6%</w:t>
            </w:r>
          </w:p>
        </w:tc>
        <w:tc>
          <w:tcPr>
            <w:tcW w:w="1080" w:type="dxa"/>
          </w:tcPr>
          <w:p w:rsidR="004B736B" w:rsidRPr="004B736B" w:rsidP="000D4A43" w14:paraId="4AAAB2B4" w14:textId="77777777">
            <w:pPr>
              <w:jc w:val="right"/>
              <w:rPr>
                <w:sz w:val="24"/>
                <w:szCs w:val="24"/>
              </w:rPr>
            </w:pPr>
            <w:r w:rsidRPr="004B736B">
              <w:rPr>
                <w:sz w:val="24"/>
                <w:szCs w:val="24"/>
              </w:rPr>
              <w:t>91,1%</w:t>
            </w:r>
          </w:p>
        </w:tc>
        <w:tc>
          <w:tcPr>
            <w:tcW w:w="1035" w:type="dxa"/>
          </w:tcPr>
          <w:p w:rsidR="004B736B" w:rsidRPr="004B736B" w:rsidP="000D4A43" w14:paraId="11967AE9" w14:textId="77777777">
            <w:pPr>
              <w:jc w:val="right"/>
              <w:rPr>
                <w:sz w:val="24"/>
                <w:szCs w:val="24"/>
              </w:rPr>
            </w:pPr>
            <w:r w:rsidRPr="004B736B">
              <w:rPr>
                <w:sz w:val="24"/>
                <w:szCs w:val="24"/>
              </w:rPr>
              <w:t>87,3%</w:t>
            </w:r>
          </w:p>
        </w:tc>
      </w:tr>
      <w:tr w14:paraId="6ECC6C8B" w14:textId="77777777" w:rsidTr="000D4A43">
        <w:tblPrEx>
          <w:tblW w:w="8750" w:type="dxa"/>
          <w:tblLook w:val="04A0"/>
        </w:tblPrEx>
        <w:trPr>
          <w:trHeight w:val="290"/>
        </w:trPr>
        <w:tc>
          <w:tcPr>
            <w:tcW w:w="1390" w:type="dxa"/>
            <w:noWrap/>
            <w:hideMark/>
          </w:tcPr>
          <w:p w:rsidR="004B736B" w:rsidRPr="004B736B" w:rsidP="000D4A43" w14:paraId="7AEF9C96" w14:textId="77777777">
            <w:pPr>
              <w:jc w:val="both"/>
              <w:rPr>
                <w:sz w:val="24"/>
                <w:szCs w:val="24"/>
              </w:rPr>
            </w:pPr>
            <w:r w:rsidRPr="004B736B">
              <w:rPr>
                <w:sz w:val="24"/>
                <w:szCs w:val="24"/>
              </w:rPr>
              <w:t>Kurzeme</w:t>
            </w:r>
          </w:p>
        </w:tc>
        <w:tc>
          <w:tcPr>
            <w:tcW w:w="1220" w:type="dxa"/>
            <w:noWrap/>
            <w:hideMark/>
          </w:tcPr>
          <w:p w:rsidR="004B736B" w:rsidRPr="004B736B" w:rsidP="000D4A43" w14:paraId="55570F77" w14:textId="77777777">
            <w:pPr>
              <w:jc w:val="right"/>
              <w:rPr>
                <w:sz w:val="24"/>
                <w:szCs w:val="24"/>
              </w:rPr>
            </w:pPr>
            <w:r w:rsidRPr="004B736B">
              <w:rPr>
                <w:sz w:val="24"/>
                <w:szCs w:val="24"/>
              </w:rPr>
              <w:t>7 613</w:t>
            </w:r>
          </w:p>
        </w:tc>
        <w:tc>
          <w:tcPr>
            <w:tcW w:w="1455" w:type="dxa"/>
            <w:noWrap/>
            <w:hideMark/>
          </w:tcPr>
          <w:p w:rsidR="004B736B" w:rsidRPr="004B736B" w:rsidP="000D4A43" w14:paraId="07F93481" w14:textId="77777777">
            <w:pPr>
              <w:jc w:val="right"/>
              <w:rPr>
                <w:sz w:val="24"/>
                <w:szCs w:val="24"/>
              </w:rPr>
            </w:pPr>
            <w:r w:rsidRPr="004B736B">
              <w:rPr>
                <w:sz w:val="24"/>
                <w:szCs w:val="24"/>
              </w:rPr>
              <w:t>6 494</w:t>
            </w:r>
          </w:p>
        </w:tc>
        <w:tc>
          <w:tcPr>
            <w:tcW w:w="1445" w:type="dxa"/>
            <w:noWrap/>
            <w:hideMark/>
          </w:tcPr>
          <w:p w:rsidR="004B736B" w:rsidRPr="004B736B" w:rsidP="000D4A43" w14:paraId="7E5FFE65" w14:textId="77777777">
            <w:pPr>
              <w:jc w:val="right"/>
              <w:rPr>
                <w:sz w:val="24"/>
                <w:szCs w:val="24"/>
              </w:rPr>
            </w:pPr>
            <w:r w:rsidRPr="004B736B">
              <w:rPr>
                <w:sz w:val="24"/>
                <w:szCs w:val="24"/>
              </w:rPr>
              <w:t>85.3%</w:t>
            </w:r>
          </w:p>
        </w:tc>
        <w:tc>
          <w:tcPr>
            <w:tcW w:w="1125" w:type="dxa"/>
          </w:tcPr>
          <w:p w:rsidR="004B736B" w:rsidRPr="004B736B" w:rsidP="000D4A43" w14:paraId="43AF581C" w14:textId="77777777">
            <w:pPr>
              <w:jc w:val="right"/>
              <w:rPr>
                <w:sz w:val="24"/>
                <w:szCs w:val="24"/>
              </w:rPr>
            </w:pPr>
            <w:r w:rsidRPr="004B736B">
              <w:rPr>
                <w:sz w:val="24"/>
                <w:szCs w:val="24"/>
              </w:rPr>
              <w:t>82,4%</w:t>
            </w:r>
          </w:p>
        </w:tc>
        <w:tc>
          <w:tcPr>
            <w:tcW w:w="1080" w:type="dxa"/>
          </w:tcPr>
          <w:p w:rsidR="004B736B" w:rsidRPr="004B736B" w:rsidP="000D4A43" w14:paraId="38D407E8" w14:textId="77777777">
            <w:pPr>
              <w:jc w:val="right"/>
              <w:rPr>
                <w:sz w:val="24"/>
                <w:szCs w:val="24"/>
              </w:rPr>
            </w:pPr>
            <w:r w:rsidRPr="004B736B">
              <w:rPr>
                <w:sz w:val="24"/>
                <w:szCs w:val="24"/>
              </w:rPr>
              <w:t>89,5%</w:t>
            </w:r>
          </w:p>
        </w:tc>
        <w:tc>
          <w:tcPr>
            <w:tcW w:w="1035" w:type="dxa"/>
          </w:tcPr>
          <w:p w:rsidR="004B736B" w:rsidRPr="004B736B" w:rsidP="000D4A43" w14:paraId="3940320A" w14:textId="77777777">
            <w:pPr>
              <w:jc w:val="right"/>
              <w:rPr>
                <w:sz w:val="24"/>
                <w:szCs w:val="24"/>
              </w:rPr>
            </w:pPr>
            <w:r w:rsidRPr="004B736B">
              <w:rPr>
                <w:sz w:val="24"/>
                <w:szCs w:val="24"/>
              </w:rPr>
              <w:t>83,7%</w:t>
            </w:r>
          </w:p>
        </w:tc>
      </w:tr>
      <w:tr w14:paraId="526C5FE8" w14:textId="77777777" w:rsidTr="000D4A43">
        <w:tblPrEx>
          <w:tblW w:w="8750" w:type="dxa"/>
          <w:tblLook w:val="04A0"/>
        </w:tblPrEx>
        <w:trPr>
          <w:trHeight w:val="290"/>
        </w:trPr>
        <w:tc>
          <w:tcPr>
            <w:tcW w:w="1390" w:type="dxa"/>
            <w:noWrap/>
            <w:hideMark/>
          </w:tcPr>
          <w:p w:rsidR="004B736B" w:rsidRPr="004B736B" w:rsidP="000D4A43" w14:paraId="336CF234" w14:textId="77777777">
            <w:pPr>
              <w:jc w:val="both"/>
              <w:rPr>
                <w:sz w:val="24"/>
                <w:szCs w:val="24"/>
              </w:rPr>
            </w:pPr>
            <w:r w:rsidRPr="004B736B">
              <w:rPr>
                <w:sz w:val="24"/>
                <w:szCs w:val="24"/>
              </w:rPr>
              <w:t>Latgale</w:t>
            </w:r>
          </w:p>
        </w:tc>
        <w:tc>
          <w:tcPr>
            <w:tcW w:w="1220" w:type="dxa"/>
            <w:noWrap/>
            <w:hideMark/>
          </w:tcPr>
          <w:p w:rsidR="004B736B" w:rsidRPr="004B736B" w:rsidP="000D4A43" w14:paraId="75948955" w14:textId="77777777">
            <w:pPr>
              <w:jc w:val="right"/>
              <w:rPr>
                <w:sz w:val="24"/>
                <w:szCs w:val="24"/>
              </w:rPr>
            </w:pPr>
            <w:r w:rsidRPr="004B736B">
              <w:rPr>
                <w:sz w:val="24"/>
                <w:szCs w:val="24"/>
              </w:rPr>
              <w:t>5 038</w:t>
            </w:r>
          </w:p>
        </w:tc>
        <w:tc>
          <w:tcPr>
            <w:tcW w:w="1455" w:type="dxa"/>
            <w:noWrap/>
            <w:hideMark/>
          </w:tcPr>
          <w:p w:rsidR="004B736B" w:rsidRPr="004B736B" w:rsidP="000D4A43" w14:paraId="5E6576EA" w14:textId="77777777">
            <w:pPr>
              <w:jc w:val="right"/>
              <w:rPr>
                <w:sz w:val="24"/>
                <w:szCs w:val="24"/>
              </w:rPr>
            </w:pPr>
            <w:r w:rsidRPr="004B736B">
              <w:rPr>
                <w:sz w:val="24"/>
                <w:szCs w:val="24"/>
              </w:rPr>
              <w:t>4 277</w:t>
            </w:r>
          </w:p>
        </w:tc>
        <w:tc>
          <w:tcPr>
            <w:tcW w:w="1445" w:type="dxa"/>
            <w:noWrap/>
            <w:hideMark/>
          </w:tcPr>
          <w:p w:rsidR="004B736B" w:rsidRPr="004B736B" w:rsidP="000D4A43" w14:paraId="758FE4B8" w14:textId="77777777">
            <w:pPr>
              <w:jc w:val="right"/>
              <w:rPr>
                <w:sz w:val="24"/>
                <w:szCs w:val="24"/>
              </w:rPr>
            </w:pPr>
            <w:r w:rsidRPr="004B736B">
              <w:rPr>
                <w:sz w:val="24"/>
                <w:szCs w:val="24"/>
              </w:rPr>
              <w:t>84.9%</w:t>
            </w:r>
          </w:p>
        </w:tc>
        <w:tc>
          <w:tcPr>
            <w:tcW w:w="1125" w:type="dxa"/>
          </w:tcPr>
          <w:p w:rsidR="004B736B" w:rsidRPr="004B736B" w:rsidP="000D4A43" w14:paraId="2C464E65" w14:textId="77777777">
            <w:pPr>
              <w:jc w:val="right"/>
              <w:rPr>
                <w:sz w:val="24"/>
                <w:szCs w:val="24"/>
              </w:rPr>
            </w:pPr>
            <w:r w:rsidRPr="004B736B">
              <w:rPr>
                <w:sz w:val="24"/>
                <w:szCs w:val="24"/>
              </w:rPr>
              <w:t>85,9%</w:t>
            </w:r>
          </w:p>
        </w:tc>
        <w:tc>
          <w:tcPr>
            <w:tcW w:w="1080" w:type="dxa"/>
          </w:tcPr>
          <w:p w:rsidR="004B736B" w:rsidRPr="004B736B" w:rsidP="000D4A43" w14:paraId="203A53BB" w14:textId="77777777">
            <w:pPr>
              <w:jc w:val="right"/>
              <w:rPr>
                <w:sz w:val="24"/>
                <w:szCs w:val="24"/>
              </w:rPr>
            </w:pPr>
            <w:r w:rsidRPr="004B736B">
              <w:rPr>
                <w:sz w:val="24"/>
                <w:szCs w:val="24"/>
              </w:rPr>
              <w:t>88,9%</w:t>
            </w:r>
          </w:p>
        </w:tc>
        <w:tc>
          <w:tcPr>
            <w:tcW w:w="1035" w:type="dxa"/>
          </w:tcPr>
          <w:p w:rsidR="004B736B" w:rsidRPr="004B736B" w:rsidP="000D4A43" w14:paraId="78AAFB01" w14:textId="77777777">
            <w:pPr>
              <w:jc w:val="right"/>
              <w:rPr>
                <w:sz w:val="24"/>
                <w:szCs w:val="24"/>
              </w:rPr>
            </w:pPr>
            <w:r w:rsidRPr="004B736B">
              <w:rPr>
                <w:sz w:val="24"/>
                <w:szCs w:val="24"/>
              </w:rPr>
              <w:t>82,0%</w:t>
            </w:r>
          </w:p>
        </w:tc>
      </w:tr>
      <w:tr w14:paraId="67EB79A3" w14:textId="77777777" w:rsidTr="000D4A43">
        <w:tblPrEx>
          <w:tblW w:w="8750" w:type="dxa"/>
          <w:tblLook w:val="04A0"/>
        </w:tblPrEx>
        <w:trPr>
          <w:trHeight w:val="290"/>
        </w:trPr>
        <w:tc>
          <w:tcPr>
            <w:tcW w:w="1390" w:type="dxa"/>
            <w:noWrap/>
            <w:hideMark/>
          </w:tcPr>
          <w:p w:rsidR="004B736B" w:rsidRPr="004B736B" w:rsidP="000D4A43" w14:paraId="22A81B94" w14:textId="77777777">
            <w:pPr>
              <w:jc w:val="both"/>
              <w:rPr>
                <w:sz w:val="24"/>
                <w:szCs w:val="24"/>
              </w:rPr>
            </w:pPr>
            <w:r w:rsidRPr="004B736B">
              <w:rPr>
                <w:sz w:val="24"/>
                <w:szCs w:val="24"/>
              </w:rPr>
              <w:t>Rīgas reģions</w:t>
            </w:r>
          </w:p>
        </w:tc>
        <w:tc>
          <w:tcPr>
            <w:tcW w:w="1220" w:type="dxa"/>
            <w:noWrap/>
            <w:hideMark/>
          </w:tcPr>
          <w:p w:rsidR="004B736B" w:rsidRPr="004B736B" w:rsidP="000D4A43" w14:paraId="2636BD81" w14:textId="77777777">
            <w:pPr>
              <w:jc w:val="right"/>
              <w:rPr>
                <w:sz w:val="24"/>
                <w:szCs w:val="24"/>
              </w:rPr>
            </w:pPr>
            <w:r w:rsidRPr="004B736B">
              <w:rPr>
                <w:sz w:val="24"/>
                <w:szCs w:val="24"/>
              </w:rPr>
              <w:t>24 026</w:t>
            </w:r>
          </w:p>
        </w:tc>
        <w:tc>
          <w:tcPr>
            <w:tcW w:w="1455" w:type="dxa"/>
            <w:noWrap/>
            <w:hideMark/>
          </w:tcPr>
          <w:p w:rsidR="004B736B" w:rsidRPr="004B736B" w:rsidP="000D4A43" w14:paraId="1D10D54F" w14:textId="77777777">
            <w:pPr>
              <w:jc w:val="right"/>
              <w:rPr>
                <w:sz w:val="24"/>
                <w:szCs w:val="24"/>
              </w:rPr>
            </w:pPr>
            <w:r w:rsidRPr="004B736B">
              <w:rPr>
                <w:sz w:val="24"/>
                <w:szCs w:val="24"/>
              </w:rPr>
              <w:t>19 865</w:t>
            </w:r>
          </w:p>
        </w:tc>
        <w:tc>
          <w:tcPr>
            <w:tcW w:w="1445" w:type="dxa"/>
            <w:noWrap/>
            <w:hideMark/>
          </w:tcPr>
          <w:p w:rsidR="004B736B" w:rsidRPr="004B736B" w:rsidP="000D4A43" w14:paraId="29D3EA34" w14:textId="77777777">
            <w:pPr>
              <w:jc w:val="right"/>
              <w:rPr>
                <w:sz w:val="24"/>
                <w:szCs w:val="24"/>
              </w:rPr>
            </w:pPr>
            <w:r w:rsidRPr="004B736B">
              <w:rPr>
                <w:sz w:val="24"/>
                <w:szCs w:val="24"/>
              </w:rPr>
              <w:t>82.7%</w:t>
            </w:r>
          </w:p>
        </w:tc>
        <w:tc>
          <w:tcPr>
            <w:tcW w:w="1125" w:type="dxa"/>
          </w:tcPr>
          <w:p w:rsidR="004B736B" w:rsidRPr="004B736B" w:rsidP="000D4A43" w14:paraId="41CC90B3" w14:textId="77777777">
            <w:pPr>
              <w:jc w:val="right"/>
              <w:rPr>
                <w:sz w:val="24"/>
                <w:szCs w:val="24"/>
              </w:rPr>
            </w:pPr>
            <w:r w:rsidRPr="004B736B">
              <w:rPr>
                <w:sz w:val="24"/>
                <w:szCs w:val="24"/>
              </w:rPr>
              <w:t>83,7%</w:t>
            </w:r>
          </w:p>
        </w:tc>
        <w:tc>
          <w:tcPr>
            <w:tcW w:w="1080" w:type="dxa"/>
          </w:tcPr>
          <w:p w:rsidR="004B736B" w:rsidRPr="004B736B" w:rsidP="000D4A43" w14:paraId="5FD80BA0" w14:textId="77777777">
            <w:pPr>
              <w:jc w:val="right"/>
              <w:rPr>
                <w:sz w:val="24"/>
                <w:szCs w:val="24"/>
              </w:rPr>
            </w:pPr>
            <w:r w:rsidRPr="004B736B">
              <w:rPr>
                <w:sz w:val="24"/>
                <w:szCs w:val="24"/>
              </w:rPr>
              <w:t>88,7%</w:t>
            </w:r>
          </w:p>
        </w:tc>
        <w:tc>
          <w:tcPr>
            <w:tcW w:w="1035" w:type="dxa"/>
          </w:tcPr>
          <w:p w:rsidR="004B736B" w:rsidRPr="004B736B" w:rsidP="000D4A43" w14:paraId="7E42E8D7" w14:textId="77777777">
            <w:pPr>
              <w:jc w:val="right"/>
              <w:rPr>
                <w:sz w:val="24"/>
                <w:szCs w:val="24"/>
              </w:rPr>
            </w:pPr>
            <w:r w:rsidRPr="004B736B">
              <w:rPr>
                <w:sz w:val="24"/>
                <w:szCs w:val="24"/>
              </w:rPr>
              <w:t>78,5%</w:t>
            </w:r>
          </w:p>
        </w:tc>
      </w:tr>
      <w:tr w14:paraId="47B393F2" w14:textId="77777777" w:rsidTr="000D4A43">
        <w:tblPrEx>
          <w:tblW w:w="8750" w:type="dxa"/>
          <w:tblLook w:val="04A0"/>
        </w:tblPrEx>
        <w:trPr>
          <w:trHeight w:val="290"/>
        </w:trPr>
        <w:tc>
          <w:tcPr>
            <w:tcW w:w="1390" w:type="dxa"/>
            <w:noWrap/>
            <w:hideMark/>
          </w:tcPr>
          <w:p w:rsidR="004B736B" w:rsidRPr="004B736B" w:rsidP="000D4A43" w14:paraId="4FA65408" w14:textId="77777777">
            <w:pPr>
              <w:jc w:val="both"/>
              <w:rPr>
                <w:b/>
                <w:bCs/>
                <w:sz w:val="24"/>
                <w:szCs w:val="24"/>
              </w:rPr>
            </w:pPr>
            <w:r w:rsidRPr="004B736B">
              <w:rPr>
                <w:b/>
                <w:bCs/>
                <w:sz w:val="24"/>
                <w:szCs w:val="24"/>
              </w:rPr>
              <w:t>KOPĀ</w:t>
            </w:r>
          </w:p>
        </w:tc>
        <w:tc>
          <w:tcPr>
            <w:tcW w:w="1220" w:type="dxa"/>
            <w:noWrap/>
            <w:hideMark/>
          </w:tcPr>
          <w:p w:rsidR="004B736B" w:rsidRPr="004B736B" w:rsidP="000D4A43" w14:paraId="3AF28D60" w14:textId="77777777">
            <w:pPr>
              <w:jc w:val="right"/>
              <w:rPr>
                <w:b/>
                <w:bCs/>
                <w:sz w:val="24"/>
                <w:szCs w:val="24"/>
              </w:rPr>
            </w:pPr>
            <w:r w:rsidRPr="004B736B">
              <w:rPr>
                <w:b/>
                <w:bCs/>
                <w:sz w:val="24"/>
                <w:szCs w:val="24"/>
              </w:rPr>
              <w:t>50 645</w:t>
            </w:r>
          </w:p>
        </w:tc>
        <w:tc>
          <w:tcPr>
            <w:tcW w:w="1455" w:type="dxa"/>
            <w:noWrap/>
            <w:hideMark/>
          </w:tcPr>
          <w:p w:rsidR="004B736B" w:rsidRPr="004B736B" w:rsidP="000D4A43" w14:paraId="062666E2" w14:textId="77777777">
            <w:pPr>
              <w:jc w:val="right"/>
              <w:rPr>
                <w:b/>
                <w:bCs/>
                <w:sz w:val="24"/>
                <w:szCs w:val="24"/>
              </w:rPr>
            </w:pPr>
            <w:r w:rsidRPr="004B736B">
              <w:rPr>
                <w:b/>
                <w:bCs/>
                <w:sz w:val="24"/>
                <w:szCs w:val="24"/>
              </w:rPr>
              <w:t>43 054</w:t>
            </w:r>
          </w:p>
        </w:tc>
        <w:tc>
          <w:tcPr>
            <w:tcW w:w="1445" w:type="dxa"/>
            <w:noWrap/>
            <w:hideMark/>
          </w:tcPr>
          <w:p w:rsidR="004B736B" w:rsidRPr="004B736B" w:rsidP="000D4A43" w14:paraId="0A4598C3" w14:textId="77777777">
            <w:pPr>
              <w:jc w:val="right"/>
              <w:rPr>
                <w:b/>
                <w:bCs/>
                <w:sz w:val="24"/>
                <w:szCs w:val="24"/>
              </w:rPr>
            </w:pPr>
            <w:r w:rsidRPr="004B736B">
              <w:rPr>
                <w:b/>
                <w:bCs/>
                <w:sz w:val="24"/>
                <w:szCs w:val="24"/>
              </w:rPr>
              <w:t>85.01%</w:t>
            </w:r>
          </w:p>
        </w:tc>
        <w:tc>
          <w:tcPr>
            <w:tcW w:w="1125" w:type="dxa"/>
          </w:tcPr>
          <w:p w:rsidR="004B736B" w:rsidRPr="004B736B" w:rsidP="000D4A43" w14:paraId="2B022E35" w14:textId="77777777">
            <w:pPr>
              <w:jc w:val="right"/>
              <w:rPr>
                <w:b/>
                <w:bCs/>
                <w:sz w:val="24"/>
                <w:szCs w:val="24"/>
              </w:rPr>
            </w:pPr>
            <w:r w:rsidRPr="004B736B">
              <w:rPr>
                <w:b/>
                <w:bCs/>
                <w:sz w:val="24"/>
                <w:szCs w:val="24"/>
              </w:rPr>
              <w:t>84,6%</w:t>
            </w:r>
          </w:p>
        </w:tc>
        <w:tc>
          <w:tcPr>
            <w:tcW w:w="1080" w:type="dxa"/>
          </w:tcPr>
          <w:p w:rsidR="004B736B" w:rsidRPr="004B736B" w:rsidP="000D4A43" w14:paraId="0DB37808" w14:textId="77777777">
            <w:pPr>
              <w:jc w:val="right"/>
              <w:rPr>
                <w:b/>
                <w:bCs/>
                <w:sz w:val="24"/>
                <w:szCs w:val="24"/>
              </w:rPr>
            </w:pPr>
            <w:r w:rsidRPr="004B736B">
              <w:rPr>
                <w:b/>
                <w:bCs/>
                <w:sz w:val="24"/>
                <w:szCs w:val="24"/>
              </w:rPr>
              <w:t>89,9%</w:t>
            </w:r>
          </w:p>
        </w:tc>
        <w:tc>
          <w:tcPr>
            <w:tcW w:w="1035" w:type="dxa"/>
          </w:tcPr>
          <w:p w:rsidR="004B736B" w:rsidRPr="004B736B" w:rsidP="000D4A43" w14:paraId="3910770A" w14:textId="77777777">
            <w:pPr>
              <w:jc w:val="right"/>
              <w:rPr>
                <w:b/>
                <w:bCs/>
                <w:sz w:val="24"/>
                <w:szCs w:val="24"/>
              </w:rPr>
            </w:pPr>
            <w:r w:rsidRPr="004B736B">
              <w:rPr>
                <w:b/>
                <w:bCs/>
                <w:sz w:val="24"/>
                <w:szCs w:val="24"/>
              </w:rPr>
              <w:t>82,2%</w:t>
            </w:r>
          </w:p>
        </w:tc>
      </w:tr>
    </w:tbl>
    <w:p w:rsidR="004B736B" w:rsidRPr="004B736B" w:rsidP="004B736B" w14:paraId="4F3F9889" w14:textId="77777777">
      <w:pPr>
        <w:jc w:val="both"/>
        <w:rPr>
          <w:sz w:val="24"/>
          <w:szCs w:val="24"/>
        </w:rPr>
      </w:pPr>
    </w:p>
    <w:p w:rsidR="004B736B" w:rsidRPr="004B736B" w:rsidP="004B736B" w14:paraId="55CB8FA4" w14:textId="77777777">
      <w:pPr>
        <w:ind w:firstLine="720"/>
        <w:jc w:val="both"/>
        <w:rPr>
          <w:sz w:val="24"/>
          <w:szCs w:val="24"/>
        </w:rPr>
      </w:pPr>
      <w:r w:rsidRPr="004B736B">
        <w:rPr>
          <w:sz w:val="24"/>
          <w:szCs w:val="24"/>
        </w:rPr>
        <w:t>Centrs ir konstatējis, ka pastāv būtiskas atšķirības vakcinācijas aptverē starp ģimenes ārstu praksēm: ir prakses, kas sasniegušas augstu vakcinācijas aptveri, un prakses, kurās tā ir ļoti zema — pat bez neviena attiecīgā vecuma vakcinēta bērna:</w:t>
      </w:r>
    </w:p>
    <w:p w:rsidR="004B736B" w:rsidRPr="004B736B" w:rsidP="004B736B" w14:paraId="7D52788A" w14:textId="77777777">
      <w:pPr>
        <w:pStyle w:val="ListParagraph"/>
        <w:numPr>
          <w:ilvl w:val="0"/>
          <w:numId w:val="4"/>
        </w:numPr>
        <w:spacing w:after="160" w:line="278" w:lineRule="auto"/>
        <w:jc w:val="both"/>
        <w:rPr>
          <w:rFonts w:ascii="Times New Roman" w:hAnsi="Times New Roman"/>
          <w:sz w:val="24"/>
          <w:szCs w:val="24"/>
        </w:rPr>
      </w:pPr>
      <w:r w:rsidRPr="004B736B">
        <w:rPr>
          <w:rFonts w:ascii="Times New Roman" w:hAnsi="Times New Roman"/>
          <w:sz w:val="24"/>
          <w:szCs w:val="24"/>
        </w:rPr>
        <w:t>193 (18,9 %) ģimenes ārstu praksēs ir sasniegta vai pārsniegta 95 % vakcinācijas aptvere norādītajā vecumu grupā –  kopā vakcinēti  no 1 līdz 143 bērniem praksē (vidēji 29 bērni praksē);</w:t>
      </w:r>
    </w:p>
    <w:p w:rsidR="004B736B" w:rsidRPr="004B736B" w:rsidP="004B736B" w14:paraId="5FE750E6" w14:textId="77777777">
      <w:pPr>
        <w:pStyle w:val="ListParagraph"/>
        <w:numPr>
          <w:ilvl w:val="1"/>
          <w:numId w:val="4"/>
        </w:numPr>
        <w:spacing w:after="160" w:line="278" w:lineRule="auto"/>
        <w:jc w:val="both"/>
        <w:rPr>
          <w:rFonts w:ascii="Times New Roman" w:hAnsi="Times New Roman"/>
          <w:sz w:val="24"/>
          <w:szCs w:val="24"/>
        </w:rPr>
      </w:pPr>
      <w:r w:rsidRPr="004B736B">
        <w:rPr>
          <w:rFonts w:ascii="Times New Roman" w:hAnsi="Times New Roman"/>
          <w:sz w:val="24"/>
          <w:szCs w:val="24"/>
        </w:rPr>
        <w:t xml:space="preserve">no tām 114 (11,2 %) ģimenes ārstu praksēs </w:t>
      </w:r>
      <w:r w:rsidRPr="004B736B">
        <w:rPr>
          <w:rFonts w:ascii="Times New Roman" w:hAnsi="Times New Roman"/>
          <w:b/>
          <w:bCs/>
          <w:sz w:val="24"/>
          <w:szCs w:val="24"/>
        </w:rPr>
        <w:t>ir vakcinēti visi</w:t>
      </w:r>
      <w:r w:rsidRPr="004B736B">
        <w:rPr>
          <w:rFonts w:ascii="Times New Roman" w:hAnsi="Times New Roman"/>
          <w:sz w:val="24"/>
          <w:szCs w:val="24"/>
        </w:rPr>
        <w:t xml:space="preserve"> reģistrētie norādītā vecuma pacienti — kopā vakcinēti no 1 līdz 69 bērniem praksē (vidēji 10 bērni praksē);</w:t>
      </w:r>
    </w:p>
    <w:p w:rsidR="004B736B" w:rsidRPr="004B736B" w:rsidP="004B736B" w14:paraId="481770AE" w14:textId="77777777">
      <w:pPr>
        <w:pStyle w:val="ListParagraph"/>
        <w:numPr>
          <w:ilvl w:val="0"/>
          <w:numId w:val="4"/>
        </w:numPr>
        <w:spacing w:after="160" w:line="278" w:lineRule="auto"/>
        <w:jc w:val="both"/>
        <w:rPr>
          <w:rFonts w:ascii="Times New Roman" w:hAnsi="Times New Roman"/>
          <w:sz w:val="24"/>
          <w:szCs w:val="24"/>
        </w:rPr>
      </w:pPr>
      <w:r w:rsidRPr="004B736B">
        <w:rPr>
          <w:rFonts w:ascii="Times New Roman" w:hAnsi="Times New Roman"/>
          <w:sz w:val="24"/>
          <w:szCs w:val="24"/>
        </w:rPr>
        <w:t>378 ģimenes ārstu praksēs ir sasniegta vakcinācijas aptvere no 85 % līdz 94 % norādītajā vecumu grupā – kopā vakcinēti no 6 līdz 216 bērniem praksē (vidēji 60 bērni praksē);</w:t>
      </w:r>
    </w:p>
    <w:p w:rsidR="004B736B" w:rsidRPr="004B736B" w:rsidP="004B736B" w14:paraId="464A96FB" w14:textId="77777777">
      <w:pPr>
        <w:pStyle w:val="ListParagraph"/>
        <w:numPr>
          <w:ilvl w:val="0"/>
          <w:numId w:val="4"/>
        </w:numPr>
        <w:spacing w:after="160" w:line="278" w:lineRule="auto"/>
        <w:jc w:val="both"/>
        <w:rPr>
          <w:rFonts w:ascii="Times New Roman" w:hAnsi="Times New Roman"/>
          <w:sz w:val="24"/>
          <w:szCs w:val="24"/>
        </w:rPr>
      </w:pPr>
      <w:r w:rsidRPr="004B736B">
        <w:rPr>
          <w:rFonts w:ascii="Times New Roman" w:hAnsi="Times New Roman"/>
          <w:sz w:val="24"/>
          <w:szCs w:val="24"/>
        </w:rPr>
        <w:t>53 (5,2 %) ģimenes ārstu praksēs aptvere nepārsniedz 50 % procentus – kopā šajās praksēs palikuši nevakcinēti no 1 līdz 67 bērniem praksē (vidēji 7 bērni praksē);</w:t>
      </w:r>
    </w:p>
    <w:p w:rsidR="004B736B" w:rsidRPr="004B736B" w:rsidP="004B736B" w14:paraId="368EF7DF" w14:textId="77777777">
      <w:pPr>
        <w:pStyle w:val="ListParagraph"/>
        <w:numPr>
          <w:ilvl w:val="1"/>
          <w:numId w:val="4"/>
        </w:numPr>
        <w:spacing w:after="160" w:line="278" w:lineRule="auto"/>
        <w:jc w:val="both"/>
        <w:rPr>
          <w:rFonts w:ascii="Times New Roman" w:hAnsi="Times New Roman"/>
          <w:sz w:val="24"/>
          <w:szCs w:val="24"/>
        </w:rPr>
      </w:pPr>
      <w:r w:rsidRPr="004B736B">
        <w:rPr>
          <w:rFonts w:ascii="Times New Roman" w:hAnsi="Times New Roman"/>
          <w:sz w:val="24"/>
          <w:szCs w:val="24"/>
        </w:rPr>
        <w:t xml:space="preserve">no tām 31 (3 %) ģimenes ārstu praksē </w:t>
      </w:r>
      <w:r w:rsidRPr="004B736B">
        <w:rPr>
          <w:rFonts w:ascii="Times New Roman" w:hAnsi="Times New Roman"/>
          <w:b/>
          <w:bCs/>
          <w:sz w:val="24"/>
          <w:szCs w:val="24"/>
        </w:rPr>
        <w:t>nav vakcinēts neviens</w:t>
      </w:r>
      <w:r w:rsidRPr="004B736B">
        <w:rPr>
          <w:rFonts w:ascii="Times New Roman" w:hAnsi="Times New Roman"/>
          <w:sz w:val="24"/>
          <w:szCs w:val="24"/>
        </w:rPr>
        <w:t xml:space="preserve"> no reģistrētajiem norādītā vecuma pacientiem — kopā no 1 līdz 5 bērniem praksē (vidēji 2 bērni praksē).</w:t>
      </w:r>
    </w:p>
    <w:p w:rsidR="004B736B" w:rsidRPr="004B736B" w:rsidP="004B736B" w14:paraId="25C7F3F0" w14:textId="4CA7C72C">
      <w:pPr>
        <w:ind w:firstLine="720"/>
        <w:jc w:val="both"/>
        <w:rPr>
          <w:sz w:val="24"/>
          <w:szCs w:val="24"/>
        </w:rPr>
      </w:pPr>
      <w:r w:rsidRPr="004B736B">
        <w:rPr>
          <w:sz w:val="24"/>
          <w:szCs w:val="24"/>
        </w:rPr>
        <w:t xml:space="preserve">Centrs vērš Jūsu uzmanību uz to, ka turpmākās masalu izplatības risks ir augsts, un to nosaka nepietiekama bērnu vakcinācijas aptvere (nav sasniegts Pasaules Veselības organizācijas rekomendētais 95 % mērķa līmenis, kas nepieciešams masalu uzliesmojumu novēršanai), nepietiekams vakcinācijas savlaicīgums un liels uzņēmīgo (nevakcinēto) personu skaits, kas pakāpeniski izveidojies daudzu gadu laikā. </w:t>
      </w:r>
    </w:p>
    <w:p w:rsidR="004B736B" w:rsidRPr="004B736B" w:rsidP="004B736B" w14:paraId="02E6146F" w14:textId="5B553490">
      <w:pPr>
        <w:ind w:firstLine="720"/>
        <w:jc w:val="both"/>
        <w:rPr>
          <w:sz w:val="24"/>
          <w:szCs w:val="24"/>
        </w:rPr>
      </w:pPr>
      <w:r w:rsidRPr="004B736B">
        <w:rPr>
          <w:sz w:val="24"/>
          <w:szCs w:val="24"/>
        </w:rPr>
        <w:t xml:space="preserve">Saskaņā ar 2025. gadā veikto pētījumu “Vakcinācijas kavējošo iemeslu </w:t>
      </w:r>
      <w:r w:rsidRPr="004B736B">
        <w:rPr>
          <w:sz w:val="24"/>
          <w:szCs w:val="24"/>
        </w:rPr>
        <w:t>prevalences</w:t>
      </w:r>
      <w:r w:rsidRPr="004B736B">
        <w:rPr>
          <w:sz w:val="24"/>
          <w:szCs w:val="24"/>
        </w:rPr>
        <w:t xml:space="preserve"> pētījums Latvijā”</w:t>
      </w:r>
      <w:r>
        <w:rPr>
          <w:rStyle w:val="FootnoteReference"/>
          <w:sz w:val="24"/>
          <w:szCs w:val="24"/>
        </w:rPr>
        <w:footnoteReference w:id="4"/>
      </w:r>
      <w:r w:rsidRPr="004B736B">
        <w:rPr>
          <w:sz w:val="24"/>
          <w:szCs w:val="24"/>
        </w:rPr>
        <w:t xml:space="preserve"> bērnu vecāku vidū galvenais informācijas avots veselības un vakcinācijas jautājumu noskaidrošanai ir ģimenes ārsts vai citi veselības aprūpes sniedzēji (94,6 %). Lielākā daļa aptaujāto norādīja, ka uzticas ģimenes ārsta norādījumiem par vakcinācijas saņemšanu un paļaujas uz ģimenes ārsta vai medicīnas māsas atgādinājumiem par konkrētajiem vakcinācijas termiņiem. Ģimenes ārsta sniegtā informācija tiek vērtēta kā droša un profesionāli pamatota. </w:t>
      </w:r>
    </w:p>
    <w:p w:rsidR="004B736B" w14:paraId="79D90D1E" w14:textId="77777777">
      <w:pPr>
        <w:rPr>
          <w:sz w:val="24"/>
          <w:szCs w:val="24"/>
        </w:rPr>
      </w:pPr>
      <w:r>
        <w:rPr>
          <w:sz w:val="24"/>
          <w:szCs w:val="24"/>
        </w:rPr>
        <w:br w:type="page"/>
      </w:r>
    </w:p>
    <w:p w:rsidR="004B736B" w:rsidRPr="004B736B" w:rsidP="004B736B" w14:paraId="4FAA9C6C" w14:textId="5F3B1D1F">
      <w:pPr>
        <w:ind w:firstLine="720"/>
        <w:jc w:val="both"/>
        <w:rPr>
          <w:sz w:val="24"/>
          <w:szCs w:val="24"/>
        </w:rPr>
      </w:pPr>
      <w:r w:rsidRPr="004B736B">
        <w:rPr>
          <w:sz w:val="24"/>
          <w:szCs w:val="24"/>
        </w:rPr>
        <w:t>Ņemot vērā pašreizējo epidemioloģisko situāciju un ievērojot iepriekš minēto, Centrs aicina ģimenes ārstus:</w:t>
      </w:r>
    </w:p>
    <w:p w:rsidR="00305682" w:rsidP="004B736B" w14:paraId="7B5533DE" w14:textId="77777777">
      <w:pPr>
        <w:pStyle w:val="ListParagraph"/>
        <w:numPr>
          <w:ilvl w:val="0"/>
          <w:numId w:val="3"/>
        </w:numPr>
        <w:spacing w:after="160" w:line="278" w:lineRule="auto"/>
        <w:jc w:val="both"/>
        <w:rPr>
          <w:rFonts w:ascii="Times New Roman" w:hAnsi="Times New Roman"/>
          <w:sz w:val="24"/>
          <w:szCs w:val="24"/>
        </w:rPr>
      </w:pPr>
      <w:r w:rsidRPr="004B736B">
        <w:rPr>
          <w:rFonts w:ascii="Times New Roman" w:hAnsi="Times New Roman"/>
          <w:sz w:val="24"/>
          <w:szCs w:val="24"/>
        </w:rPr>
        <w:t>apzināt bērnus, kuri nav saņēmuši vakcinācijas kalendārā paredzētās vakcinācijas, un aktīvi aicināt vecākus nodrošināt bērnu vakcināciju</w:t>
      </w:r>
      <w:r>
        <w:rPr>
          <w:rFonts w:ascii="Times New Roman" w:hAnsi="Times New Roman"/>
          <w:sz w:val="24"/>
          <w:szCs w:val="24"/>
        </w:rPr>
        <w:t>;</w:t>
      </w:r>
    </w:p>
    <w:p w:rsidR="00305682" w:rsidRPr="004B736B" w:rsidP="00305682" w14:paraId="0EA2C792" w14:textId="3C1F7F9A">
      <w:pPr>
        <w:pStyle w:val="ListParagraph"/>
        <w:numPr>
          <w:ilvl w:val="0"/>
          <w:numId w:val="3"/>
        </w:numPr>
        <w:spacing w:after="160" w:line="278" w:lineRule="auto"/>
        <w:jc w:val="both"/>
        <w:rPr>
          <w:rFonts w:ascii="Times New Roman" w:hAnsi="Times New Roman"/>
          <w:sz w:val="24"/>
          <w:szCs w:val="24"/>
        </w:rPr>
      </w:pPr>
      <w:r w:rsidRPr="004B736B">
        <w:rPr>
          <w:rFonts w:ascii="Times New Roman" w:hAnsi="Times New Roman"/>
          <w:sz w:val="24"/>
          <w:szCs w:val="24"/>
        </w:rPr>
        <w:t xml:space="preserve">veikt vakcināciju pret masalām, tiklīdz bērns ir </w:t>
      </w:r>
      <w:r w:rsidRPr="004B736B">
        <w:rPr>
          <w:rFonts w:ascii="Times New Roman" w:hAnsi="Times New Roman"/>
          <w:b/>
          <w:bCs/>
          <w:sz w:val="24"/>
          <w:szCs w:val="24"/>
        </w:rPr>
        <w:t xml:space="preserve">sasniedzis </w:t>
      </w:r>
      <w:r w:rsidRPr="004B736B">
        <w:rPr>
          <w:rFonts w:ascii="Times New Roman" w:hAnsi="Times New Roman"/>
          <w:sz w:val="24"/>
          <w:szCs w:val="24"/>
        </w:rPr>
        <w:t>vakcinācijas vecumu (12 mēnešu vecumu) un revakcinācijas vecumu (7 gadu vecumu)</w:t>
      </w:r>
      <w:r>
        <w:rPr>
          <w:rFonts w:ascii="Times New Roman" w:hAnsi="Times New Roman"/>
          <w:sz w:val="24"/>
          <w:szCs w:val="24"/>
        </w:rPr>
        <w:t>;</w:t>
      </w:r>
    </w:p>
    <w:p w:rsidR="004B736B" w:rsidRPr="004B736B" w:rsidP="004B736B" w14:paraId="5F3FBA9E" w14:textId="7FC78483">
      <w:pPr>
        <w:pStyle w:val="ListParagraph"/>
        <w:numPr>
          <w:ilvl w:val="0"/>
          <w:numId w:val="3"/>
        </w:numPr>
        <w:spacing w:after="160" w:line="278" w:lineRule="auto"/>
        <w:jc w:val="both"/>
        <w:rPr>
          <w:rFonts w:ascii="Times New Roman" w:hAnsi="Times New Roman"/>
          <w:sz w:val="24"/>
          <w:szCs w:val="24"/>
        </w:rPr>
      </w:pPr>
      <w:r w:rsidRPr="004B736B">
        <w:rPr>
          <w:rFonts w:ascii="Times New Roman" w:hAnsi="Times New Roman"/>
          <w:sz w:val="24"/>
          <w:szCs w:val="24"/>
        </w:rPr>
        <w:t>šī gada Pasaules Imunizācijas nedēļā (20.–24. aprīlī) aktīvi iesaistīties vakcinācijas nozīmes skaidrošanā gan saviem pacientiem, gan sabiedrībai</w:t>
      </w:r>
      <w:r w:rsidR="00305682">
        <w:rPr>
          <w:rFonts w:ascii="Times New Roman" w:hAnsi="Times New Roman"/>
          <w:sz w:val="24"/>
          <w:szCs w:val="24"/>
        </w:rPr>
        <w:t>.</w:t>
      </w:r>
    </w:p>
    <w:p w:rsidR="004B736B" w:rsidRPr="004B736B" w:rsidP="004B736B" w14:paraId="0382D400" w14:textId="77777777">
      <w:pPr>
        <w:ind w:firstLine="720"/>
        <w:jc w:val="both"/>
        <w:rPr>
          <w:sz w:val="24"/>
          <w:szCs w:val="24"/>
        </w:rPr>
      </w:pPr>
      <w:r w:rsidRPr="004B736B">
        <w:rPr>
          <w:sz w:val="24"/>
          <w:szCs w:val="24"/>
        </w:rPr>
        <w:t>Centrs atgādina, ka valsts apmaksāta vakcinācija pret masalām ir paredzēta līdz 25 gadu vecumam (ieskaitot).</w:t>
      </w:r>
    </w:p>
    <w:p w:rsidR="004B736B" w:rsidRPr="004B736B" w:rsidP="004B736B" w14:paraId="4D0BC869" w14:textId="33CF27AC">
      <w:pPr>
        <w:ind w:firstLine="720"/>
        <w:jc w:val="both"/>
        <w:rPr>
          <w:sz w:val="24"/>
          <w:szCs w:val="24"/>
        </w:rPr>
      </w:pPr>
      <w:r w:rsidRPr="004B736B">
        <w:rPr>
          <w:color w:val="000000" w:themeColor="text1"/>
          <w:sz w:val="24"/>
          <w:szCs w:val="24"/>
        </w:rPr>
        <w:t xml:space="preserve">Atgādinām, ka </w:t>
      </w:r>
      <w:r w:rsidR="00DD6CD5">
        <w:rPr>
          <w:color w:val="000000" w:themeColor="text1"/>
          <w:sz w:val="24"/>
          <w:szCs w:val="24"/>
        </w:rPr>
        <w:t>Centra</w:t>
      </w:r>
      <w:r w:rsidRPr="004B736B">
        <w:rPr>
          <w:color w:val="000000" w:themeColor="text1"/>
          <w:sz w:val="24"/>
          <w:szCs w:val="24"/>
        </w:rPr>
        <w:t xml:space="preserve"> tīmekļa vietnē (</w:t>
      </w:r>
      <w:hyperlink r:id="rId7">
        <w:r w:rsidRPr="004B736B">
          <w:rPr>
            <w:rStyle w:val="Hyperlink"/>
            <w:sz w:val="24"/>
            <w:szCs w:val="24"/>
          </w:rPr>
          <w:t>https://www.spkc.gov.lv/lv/masalas)</w:t>
        </w:r>
      </w:hyperlink>
      <w:r w:rsidRPr="004B736B">
        <w:rPr>
          <w:color w:val="000000" w:themeColor="text1"/>
          <w:sz w:val="24"/>
          <w:szCs w:val="24"/>
        </w:rPr>
        <w:t xml:space="preserve"> ir pieejams informatīvi metodiskais materiāls “Masalas. </w:t>
      </w:r>
      <w:r w:rsidRPr="004B736B">
        <w:rPr>
          <w:sz w:val="24"/>
          <w:szCs w:val="24"/>
        </w:rPr>
        <w:t xml:space="preserve">Informācija un ieteikumi ārstniecības personām'': </w:t>
      </w:r>
      <w:hyperlink r:id="rId8">
        <w:r w:rsidRPr="004B736B">
          <w:rPr>
            <w:rStyle w:val="Hyperlink"/>
            <w:sz w:val="24"/>
            <w:szCs w:val="24"/>
          </w:rPr>
          <w:t>https://www.spkc.gov.lv/lv/media/25073/download?attachment</w:t>
        </w:r>
      </w:hyperlink>
    </w:p>
    <w:p w:rsidR="004B736B" w:rsidRPr="004B736B" w:rsidP="004B736B" w14:paraId="581437C3" w14:textId="77777777">
      <w:pPr>
        <w:ind w:firstLine="720"/>
        <w:jc w:val="both"/>
        <w:rPr>
          <w:sz w:val="24"/>
          <w:szCs w:val="24"/>
        </w:rPr>
      </w:pPr>
    </w:p>
    <w:p w:rsidR="002079F2" w:rsidRPr="004B736B" w:rsidP="004B736B" w14:paraId="29EFA522" w14:textId="25F38216">
      <w:pPr>
        <w:tabs>
          <w:tab w:val="left" w:pos="1134"/>
        </w:tabs>
        <w:ind w:firstLine="720"/>
        <w:jc w:val="both"/>
        <w:rPr>
          <w:sz w:val="24"/>
          <w:szCs w:val="24"/>
        </w:rPr>
      </w:pPr>
      <w:r w:rsidRPr="004B736B">
        <w:rPr>
          <w:sz w:val="24"/>
          <w:szCs w:val="24"/>
        </w:rPr>
        <w:t>Laipni lūdzam izplatīt šo vēstuli Jūsu asociācijas biedru vidū.</w:t>
      </w:r>
    </w:p>
    <w:p w:rsidR="00477923" w:rsidRPr="003F6412" w:rsidP="00784C77" w14:paraId="1D426A00" w14:textId="4EE08C8C">
      <w:pPr>
        <w:tabs>
          <w:tab w:val="left" w:pos="6804"/>
        </w:tabs>
        <w:spacing w:before="480" w:after="480"/>
        <w:jc w:val="both"/>
        <w:rPr>
          <w:sz w:val="24"/>
          <w:szCs w:val="24"/>
        </w:rPr>
      </w:pPr>
      <w:r w:rsidRPr="003F6412">
        <w:rPr>
          <w:sz w:val="24"/>
          <w:szCs w:val="24"/>
        </w:rPr>
        <w:t>Direktor</w:t>
      </w:r>
      <w:r>
        <w:rPr>
          <w:sz w:val="24"/>
          <w:szCs w:val="24"/>
        </w:rPr>
        <w:t xml:space="preserve">a </w:t>
      </w:r>
      <w:r>
        <w:rPr>
          <w:sz w:val="24"/>
          <w:szCs w:val="24"/>
        </w:rPr>
        <w:t>p.i</w:t>
      </w:r>
      <w:r>
        <w:rPr>
          <w:sz w:val="24"/>
          <w:szCs w:val="24"/>
        </w:rPr>
        <w:t>.</w:t>
      </w:r>
      <w:r w:rsidRPr="003F6412">
        <w:rPr>
          <w:sz w:val="24"/>
          <w:szCs w:val="24"/>
        </w:rPr>
        <w:tab/>
      </w:r>
      <w:r w:rsidRPr="003F6412">
        <w:rPr>
          <w:noProof/>
          <w:sz w:val="24"/>
          <w:szCs w:val="24"/>
          <w:lang w:eastAsia="lv-LV"/>
        </w:rPr>
        <w:t>Dzintars Mozgis</w:t>
      </w:r>
    </w:p>
    <w:p w:rsidR="002079F2" w:rsidP="002079F2" w14:paraId="0FA6DEAA" w14:textId="26798A5B">
      <w:pPr>
        <w:pStyle w:val="BodyB"/>
        <w:rPr>
          <w:sz w:val="20"/>
        </w:rPr>
      </w:pPr>
      <w:r>
        <w:rPr>
          <w:noProof/>
          <w:sz w:val="20"/>
        </w:rPr>
        <w:t>Armīns Kalniņš</w:t>
      </w:r>
    </w:p>
    <w:p w:rsidR="00A91007" w:rsidRPr="00A91007" w:rsidP="00477923" w14:paraId="43555665" w14:textId="6DBA4052">
      <w:pPr>
        <w:pStyle w:val="BodyB"/>
      </w:pPr>
      <w:r>
        <w:rPr>
          <w:noProof/>
          <w:sz w:val="20"/>
        </w:rPr>
        <w:t>armins.kalnins@spkc.gov.lv</w:t>
      </w:r>
    </w:p>
    <w:sectPr w:rsidSect="008C265B">
      <w:footerReference w:type="defaul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E4B" w:rsidP="00F84E4B" w14:paraId="6223A9EB" w14:textId="77777777">
    <w:pPr>
      <w:pStyle w:val="Footer"/>
      <w:jc w:val="center"/>
    </w:pPr>
    <w:r w:rsidRPr="001B3C4F">
      <w:t>DOKUMENTS PARAKSTĪTS ELEKTRONISKI AR DROŠU ELEKTRONISKO PARAKSTU</w:t>
    </w:r>
  </w:p>
  <w:p w:rsidR="00CD015F" w:rsidP="00F84E4B" w14:paraId="0D3A8D37" w14:textId="77777777">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3B67" w14:paraId="217AED12" w14:textId="77777777">
      <w:r>
        <w:separator/>
      </w:r>
    </w:p>
  </w:footnote>
  <w:footnote w:type="continuationSeparator" w:id="1">
    <w:p w:rsidR="00D63B67" w14:paraId="1B0C372A" w14:textId="77777777">
      <w:r>
        <w:continuationSeparator/>
      </w:r>
    </w:p>
  </w:footnote>
  <w:footnote w:id="2">
    <w:p w:rsidR="004B736B" w:rsidP="004B736B" w14:paraId="59ABEECF" w14:textId="77777777">
      <w:pPr>
        <w:pStyle w:val="FootnoteText"/>
        <w:rPr>
          <w:rFonts w:ascii="Times New Roman" w:eastAsia="Times New Roman" w:hAnsi="Times New Roman" w:cs="Times New Roman"/>
        </w:rPr>
      </w:pPr>
      <w:r w:rsidRPr="5FA5F811">
        <w:rPr>
          <w:rStyle w:val="FootnoteReference"/>
          <w:rFonts w:ascii="Times New Roman" w:eastAsia="Times New Roman" w:hAnsi="Times New Roman" w:cs="Times New Roman"/>
        </w:rPr>
        <w:footnoteRef/>
      </w:r>
      <w:r w:rsidRPr="5FA5F811">
        <w:rPr>
          <w:rFonts w:ascii="Times New Roman" w:eastAsia="Times New Roman" w:hAnsi="Times New Roman" w:cs="Times New Roman"/>
        </w:rPr>
        <w:t xml:space="preserve"> </w:t>
      </w:r>
      <w:r w:rsidRPr="762559A5">
        <w:rPr>
          <w:rFonts w:ascii="Times New Roman" w:eastAsia="Times New Roman" w:hAnsi="Times New Roman" w:cs="Times New Roman"/>
        </w:rPr>
        <w:t>Līdz 2026. gada 31. martam ir reģistrēti 35 masalu gadījumi, tostarp 25 gadījumi bērniem vecumā no 6 līdz 17 gadiem, neviens no bērniem nebija vakcinēts pret masalām</w:t>
      </w:r>
      <w:r w:rsidRPr="5FA5F811">
        <w:rPr>
          <w:rFonts w:ascii="Times New Roman" w:eastAsia="Times New Roman" w:hAnsi="Times New Roman" w:cs="Times New Roman"/>
        </w:rPr>
        <w:t>.</w:t>
      </w:r>
    </w:p>
  </w:footnote>
  <w:footnote w:id="3">
    <w:p w:rsidR="004B736B" w:rsidP="004B736B" w14:paraId="33F550B2" w14:textId="77777777">
      <w:pPr>
        <w:pStyle w:val="FootnoteText"/>
      </w:pPr>
      <w:r>
        <w:rPr>
          <w:rStyle w:val="FootnoteReference"/>
        </w:rPr>
        <w:footnoteRef/>
      </w:r>
      <w:r>
        <w:t xml:space="preserve"> </w:t>
      </w:r>
      <w:r>
        <w:rPr>
          <w:rFonts w:ascii="Times New Roman" w:eastAsia="Times New Roman" w:hAnsi="Times New Roman" w:cs="Times New Roman"/>
        </w:rPr>
        <w:t>Vakcinācijas dati</w:t>
      </w:r>
      <w:r w:rsidRPr="1925CE1E">
        <w:rPr>
          <w:rFonts w:ascii="Times New Roman" w:eastAsia="Times New Roman" w:hAnsi="Times New Roman" w:cs="Times New Roman"/>
        </w:rPr>
        <w:t xml:space="preserve"> </w:t>
      </w:r>
      <w:r w:rsidRPr="001013C0">
        <w:rPr>
          <w:rFonts w:ascii="Times New Roman" w:eastAsia="Times New Roman" w:hAnsi="Times New Roman" w:cs="Times New Roman"/>
        </w:rPr>
        <w:t xml:space="preserve">no 2024. gada 1. februāra līdz 2026. gada </w:t>
      </w:r>
      <w:r>
        <w:rPr>
          <w:rFonts w:ascii="Times New Roman" w:eastAsia="Times New Roman" w:hAnsi="Times New Roman" w:cs="Times New Roman"/>
        </w:rPr>
        <w:t>2</w:t>
      </w:r>
      <w:r w:rsidRPr="001013C0">
        <w:rPr>
          <w:rFonts w:ascii="Times New Roman" w:eastAsia="Times New Roman" w:hAnsi="Times New Roman" w:cs="Times New Roman"/>
        </w:rPr>
        <w:t xml:space="preserve">0. </w:t>
      </w:r>
      <w:r>
        <w:rPr>
          <w:rFonts w:ascii="Times New Roman" w:eastAsia="Times New Roman" w:hAnsi="Times New Roman" w:cs="Times New Roman"/>
        </w:rPr>
        <w:t>martam</w:t>
      </w:r>
      <w:r w:rsidRPr="001013C0">
        <w:rPr>
          <w:rFonts w:ascii="Times New Roman" w:eastAsia="Times New Roman" w:hAnsi="Times New Roman" w:cs="Times New Roman"/>
        </w:rPr>
        <w:t xml:space="preserve">  par mērķa grupu pacientiem, kuri šajā laikā bija reģistrēti </w:t>
      </w:r>
      <w:r>
        <w:rPr>
          <w:rFonts w:ascii="Times New Roman" w:eastAsia="Times New Roman" w:hAnsi="Times New Roman" w:cs="Times New Roman"/>
        </w:rPr>
        <w:t>ārstu</w:t>
      </w:r>
      <w:r w:rsidRPr="001013C0">
        <w:rPr>
          <w:rFonts w:ascii="Times New Roman" w:eastAsia="Times New Roman" w:hAnsi="Times New Roman" w:cs="Times New Roman"/>
        </w:rPr>
        <w:t xml:space="preserve"> praksē</w:t>
      </w:r>
      <w:r>
        <w:rPr>
          <w:rFonts w:ascii="Times New Roman" w:eastAsia="Times New Roman" w:hAnsi="Times New Roman" w:cs="Times New Roman"/>
        </w:rPr>
        <w:t>s</w:t>
      </w:r>
      <w:r w:rsidRPr="001013C0">
        <w:rPr>
          <w:rFonts w:ascii="Times New Roman" w:eastAsia="Times New Roman" w:hAnsi="Times New Roman" w:cs="Times New Roman"/>
        </w:rPr>
        <w:t xml:space="preserve"> un </w:t>
      </w:r>
      <w:r>
        <w:rPr>
          <w:rFonts w:ascii="Times New Roman" w:eastAsia="Times New Roman" w:hAnsi="Times New Roman" w:cs="Times New Roman"/>
        </w:rPr>
        <w:t>kuriem</w:t>
      </w:r>
      <w:r w:rsidRPr="001013C0">
        <w:rPr>
          <w:rFonts w:ascii="Times New Roman" w:eastAsia="Times New Roman" w:hAnsi="Times New Roman" w:cs="Times New Roman"/>
        </w:rPr>
        <w:t xml:space="preserve"> bija jānodrošina vakcinācija</w:t>
      </w:r>
      <w:r>
        <w:rPr>
          <w:rFonts w:ascii="Times New Roman" w:eastAsia="Times New Roman" w:hAnsi="Times New Roman" w:cs="Times New Roman"/>
        </w:rPr>
        <w:t>:</w:t>
      </w:r>
      <w:r w:rsidRPr="001013C0">
        <w:rPr>
          <w:rFonts w:ascii="Times New Roman" w:eastAsia="Times New Roman" w:hAnsi="Times New Roman" w:cs="Times New Roman"/>
        </w:rPr>
        <w:t xml:space="preserve"> bērniem, kuri 2026. gada </w:t>
      </w:r>
      <w:r>
        <w:rPr>
          <w:rFonts w:ascii="Times New Roman" w:eastAsia="Times New Roman" w:hAnsi="Times New Roman" w:cs="Times New Roman"/>
        </w:rPr>
        <w:t>2</w:t>
      </w:r>
      <w:r w:rsidRPr="001013C0">
        <w:rPr>
          <w:rFonts w:ascii="Times New Roman" w:eastAsia="Times New Roman" w:hAnsi="Times New Roman" w:cs="Times New Roman"/>
        </w:rPr>
        <w:t xml:space="preserve">0. </w:t>
      </w:r>
      <w:r>
        <w:rPr>
          <w:rFonts w:ascii="Times New Roman" w:eastAsia="Times New Roman" w:hAnsi="Times New Roman" w:cs="Times New Roman"/>
        </w:rPr>
        <w:t>martā</w:t>
      </w:r>
      <w:r w:rsidRPr="001013C0">
        <w:rPr>
          <w:rFonts w:ascii="Times New Roman" w:eastAsia="Times New Roman" w:hAnsi="Times New Roman" w:cs="Times New Roman"/>
        </w:rPr>
        <w:t xml:space="preserve"> bija</w:t>
      </w:r>
      <w:r>
        <w:rPr>
          <w:rFonts w:ascii="Times New Roman" w:eastAsia="Times New Roman" w:hAnsi="Times New Roman" w:cs="Times New Roman"/>
        </w:rPr>
        <w:t xml:space="preserve"> vecumā no 15 mēnešiem līdz 3 gadiem 1 mēnesim un 20 dienām </w:t>
      </w:r>
      <w:r w:rsidRPr="001013C0">
        <w:rPr>
          <w:rFonts w:ascii="Times New Roman" w:eastAsia="Times New Roman" w:hAnsi="Times New Roman" w:cs="Times New Roman"/>
        </w:rPr>
        <w:t xml:space="preserve">(pirmā pote); bērniem, kuri 2026. gada </w:t>
      </w:r>
      <w:r>
        <w:rPr>
          <w:rFonts w:ascii="Times New Roman" w:eastAsia="Times New Roman" w:hAnsi="Times New Roman" w:cs="Times New Roman"/>
        </w:rPr>
        <w:t>2</w:t>
      </w:r>
      <w:r w:rsidRPr="001013C0">
        <w:rPr>
          <w:rFonts w:ascii="Times New Roman" w:eastAsia="Times New Roman" w:hAnsi="Times New Roman" w:cs="Times New Roman"/>
        </w:rPr>
        <w:t xml:space="preserve">0. </w:t>
      </w:r>
      <w:r>
        <w:rPr>
          <w:rFonts w:ascii="Times New Roman" w:eastAsia="Times New Roman" w:hAnsi="Times New Roman" w:cs="Times New Roman"/>
        </w:rPr>
        <w:t>martā</w:t>
      </w:r>
      <w:r w:rsidRPr="001013C0">
        <w:rPr>
          <w:rFonts w:ascii="Times New Roman" w:eastAsia="Times New Roman" w:hAnsi="Times New Roman" w:cs="Times New Roman"/>
        </w:rPr>
        <w:t xml:space="preserve"> bija</w:t>
      </w:r>
      <w:r>
        <w:rPr>
          <w:rFonts w:ascii="Times New Roman" w:eastAsia="Times New Roman" w:hAnsi="Times New Roman" w:cs="Times New Roman"/>
        </w:rPr>
        <w:t xml:space="preserve"> vecumā no 8 gadiem līdz 9 gadiem 1 mēnesim un 20 dienām </w:t>
      </w:r>
      <w:r w:rsidRPr="001013C0">
        <w:rPr>
          <w:rFonts w:ascii="Times New Roman" w:eastAsia="Times New Roman" w:hAnsi="Times New Roman" w:cs="Times New Roman"/>
        </w:rPr>
        <w:t>(</w:t>
      </w:r>
      <w:r>
        <w:rPr>
          <w:rFonts w:ascii="Times New Roman" w:eastAsia="Times New Roman" w:hAnsi="Times New Roman" w:cs="Times New Roman"/>
        </w:rPr>
        <w:t>otr</w:t>
      </w:r>
      <w:r w:rsidRPr="001013C0">
        <w:rPr>
          <w:rFonts w:ascii="Times New Roman" w:eastAsia="Times New Roman" w:hAnsi="Times New Roman" w:cs="Times New Roman"/>
        </w:rPr>
        <w:t>ā pote)</w:t>
      </w:r>
      <w:r>
        <w:rPr>
          <w:rFonts w:ascii="Times New Roman" w:eastAsia="Times New Roman" w:hAnsi="Times New Roman" w:cs="Times New Roman"/>
        </w:rPr>
        <w:t>.</w:t>
      </w:r>
    </w:p>
  </w:footnote>
  <w:footnote w:id="4">
    <w:p w:rsidR="00DD6CD5" w:rsidRPr="00DD6CD5" w14:paraId="6ECE66FB" w14:textId="34BD6615">
      <w:pPr>
        <w:pStyle w:val="FootnoteText"/>
        <w:rPr>
          <w:rFonts w:asciiTheme="majorBidi" w:hAnsiTheme="majorBidi" w:cstheme="majorBidi"/>
        </w:rPr>
      </w:pPr>
      <w:r>
        <w:rPr>
          <w:rStyle w:val="FootnoteReference"/>
        </w:rPr>
        <w:footnoteRef/>
      </w:r>
      <w:r>
        <w:t xml:space="preserve"> </w:t>
      </w:r>
      <w:hyperlink r:id="rId1" w:history="1">
        <w:r w:rsidRPr="00371544">
          <w:rPr>
            <w:rStyle w:val="Hyperlink"/>
            <w:rFonts w:asciiTheme="majorBidi" w:hAnsiTheme="majorBidi" w:cstheme="majorBidi"/>
          </w:rPr>
          <w:t>https://ppdb.mk.gov.lv/wp-content/uploads/2026/02/Vakcinacijas_kavejoso_iemeslu_prevalences_petijums_zinojums.pdf</w:t>
        </w:r>
      </w:hyperlink>
      <w:r>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0C79466"/>
    <w:multiLevelType w:val="hybridMultilevel"/>
    <w:tmpl w:val="3B80E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5B27BC"/>
    <w:multiLevelType w:val="hybridMultilevel"/>
    <w:tmpl w:val="9E7EB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BEDE4"/>
    <w:multiLevelType w:val="hybridMultilevel"/>
    <w:tmpl w:val="04185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776723"/>
    <w:multiLevelType w:val="hybridMultilevel"/>
    <w:tmpl w:val="75C47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3"/>
  </w:num>
  <w:num w:numId="2" w16cid:durableId="619871805">
    <w:abstractNumId w:val="4"/>
  </w:num>
  <w:num w:numId="3" w16cid:durableId="294872956">
    <w:abstractNumId w:val="0"/>
  </w:num>
  <w:num w:numId="4" w16cid:durableId="572085853">
    <w:abstractNumId w:val="1"/>
  </w:num>
  <w:num w:numId="5" w16cid:durableId="192368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4A43"/>
    <w:rsid w:val="000D65D1"/>
    <w:rsid w:val="001013C0"/>
    <w:rsid w:val="00112C48"/>
    <w:rsid w:val="00154B6E"/>
    <w:rsid w:val="00172A3B"/>
    <w:rsid w:val="001955B7"/>
    <w:rsid w:val="00195A3A"/>
    <w:rsid w:val="001963C5"/>
    <w:rsid w:val="001B3C4F"/>
    <w:rsid w:val="001F3DE1"/>
    <w:rsid w:val="002079F2"/>
    <w:rsid w:val="00222B8B"/>
    <w:rsid w:val="00237C47"/>
    <w:rsid w:val="00247E9C"/>
    <w:rsid w:val="00280BAC"/>
    <w:rsid w:val="002B3F48"/>
    <w:rsid w:val="00305682"/>
    <w:rsid w:val="00371544"/>
    <w:rsid w:val="00376EF5"/>
    <w:rsid w:val="003A5E2C"/>
    <w:rsid w:val="003E7BBE"/>
    <w:rsid w:val="003F2940"/>
    <w:rsid w:val="003F6412"/>
    <w:rsid w:val="00415D28"/>
    <w:rsid w:val="00443D6E"/>
    <w:rsid w:val="004568DF"/>
    <w:rsid w:val="00456D43"/>
    <w:rsid w:val="00477923"/>
    <w:rsid w:val="00480BD0"/>
    <w:rsid w:val="004A063D"/>
    <w:rsid w:val="004B736B"/>
    <w:rsid w:val="00505CA0"/>
    <w:rsid w:val="005249D9"/>
    <w:rsid w:val="0054793E"/>
    <w:rsid w:val="0055269A"/>
    <w:rsid w:val="005603D1"/>
    <w:rsid w:val="00587CC8"/>
    <w:rsid w:val="005D3E87"/>
    <w:rsid w:val="005F7BFA"/>
    <w:rsid w:val="006765DF"/>
    <w:rsid w:val="006A3E8D"/>
    <w:rsid w:val="006D3FD6"/>
    <w:rsid w:val="007322A6"/>
    <w:rsid w:val="00784C77"/>
    <w:rsid w:val="007906BB"/>
    <w:rsid w:val="007B2729"/>
    <w:rsid w:val="007C6A5F"/>
    <w:rsid w:val="00893003"/>
    <w:rsid w:val="008B15BC"/>
    <w:rsid w:val="008B6D06"/>
    <w:rsid w:val="008B742D"/>
    <w:rsid w:val="008C265B"/>
    <w:rsid w:val="00987215"/>
    <w:rsid w:val="00994AA3"/>
    <w:rsid w:val="009E26F3"/>
    <w:rsid w:val="00A23AAC"/>
    <w:rsid w:val="00A24A6B"/>
    <w:rsid w:val="00A277B8"/>
    <w:rsid w:val="00A91007"/>
    <w:rsid w:val="00B05611"/>
    <w:rsid w:val="00B16961"/>
    <w:rsid w:val="00B86B76"/>
    <w:rsid w:val="00BE7124"/>
    <w:rsid w:val="00BF3D96"/>
    <w:rsid w:val="00C12D6E"/>
    <w:rsid w:val="00C4438A"/>
    <w:rsid w:val="00C92245"/>
    <w:rsid w:val="00CA27BF"/>
    <w:rsid w:val="00CB2202"/>
    <w:rsid w:val="00CB77F0"/>
    <w:rsid w:val="00CC1A82"/>
    <w:rsid w:val="00CC4F90"/>
    <w:rsid w:val="00CD015F"/>
    <w:rsid w:val="00D5053F"/>
    <w:rsid w:val="00D63B67"/>
    <w:rsid w:val="00D831E1"/>
    <w:rsid w:val="00D92D62"/>
    <w:rsid w:val="00DC0153"/>
    <w:rsid w:val="00DC1881"/>
    <w:rsid w:val="00DD6CD5"/>
    <w:rsid w:val="00DE33E0"/>
    <w:rsid w:val="00E029CF"/>
    <w:rsid w:val="00E10BEB"/>
    <w:rsid w:val="00E33119"/>
    <w:rsid w:val="00E402D8"/>
    <w:rsid w:val="00E43ABB"/>
    <w:rsid w:val="00E46716"/>
    <w:rsid w:val="00E46A48"/>
    <w:rsid w:val="00E55896"/>
    <w:rsid w:val="00E92ACC"/>
    <w:rsid w:val="00EC6B3B"/>
    <w:rsid w:val="00EE4551"/>
    <w:rsid w:val="00EE7EE5"/>
    <w:rsid w:val="00F84E4B"/>
    <w:rsid w:val="00FB54D0"/>
    <w:rsid w:val="00FC6C93"/>
    <w:rsid w:val="00FE4CB2"/>
    <w:rsid w:val="1925CE1E"/>
    <w:rsid w:val="5FA5F811"/>
    <w:rsid w:val="762559A5"/>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740D110"/>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Virsraksts1Rakstz"/>
    <w:uiPriority w:val="9"/>
    <w:qFormat/>
    <w:rsid w:val="00994AA3"/>
    <w:pPr>
      <w:keepNext/>
      <w:jc w:val="center"/>
      <w:outlineLvl w:val="0"/>
    </w:pPr>
    <w:rPr>
      <w:b/>
      <w:bCs/>
    </w:rPr>
  </w:style>
  <w:style w:type="paragraph" w:styleId="Heading2">
    <w:name w:val="heading 2"/>
    <w:basedOn w:val="Normal"/>
    <w:next w:val="Normal"/>
    <w:link w:val="Virsraksts2Rakstz"/>
    <w:qFormat/>
    <w:rsid w:val="00994AA3"/>
    <w:pPr>
      <w:keepNext/>
      <w:tabs>
        <w:tab w:val="num" w:pos="495"/>
      </w:tabs>
      <w:ind w:left="495" w:hanging="495"/>
      <w:outlineLvl w:val="1"/>
    </w:pPr>
    <w:rPr>
      <w:b/>
    </w:rPr>
  </w:style>
  <w:style w:type="paragraph" w:styleId="Heading3">
    <w:name w:val="heading 3"/>
    <w:basedOn w:val="Normal"/>
    <w:next w:val="Normal"/>
    <w:link w:val="Virsraksts3Rakstz"/>
    <w:qFormat/>
    <w:rsid w:val="00994AA3"/>
    <w:pPr>
      <w:keepNext/>
      <w:outlineLvl w:val="2"/>
    </w:pPr>
    <w:rPr>
      <w:b/>
      <w:color w:val="FF0000"/>
      <w:sz w:val="44"/>
    </w:rPr>
  </w:style>
  <w:style w:type="paragraph" w:styleId="Heading4">
    <w:name w:val="heading 4"/>
    <w:basedOn w:val="Normal"/>
    <w:link w:val="Virsraksts4Rakstz"/>
    <w:uiPriority w:val="9"/>
    <w:qFormat/>
    <w:rsid w:val="00994AA3"/>
    <w:pPr>
      <w:spacing w:before="100" w:beforeAutospacing="1" w:after="100" w:afterAutospacing="1"/>
      <w:outlineLvl w:val="3"/>
    </w:pPr>
    <w:rPr>
      <w:b/>
      <w:bCs/>
    </w:rPr>
  </w:style>
  <w:style w:type="paragraph" w:styleId="Heading5">
    <w:name w:val="heading 5"/>
    <w:basedOn w:val="Normal"/>
    <w:next w:val="Normal"/>
    <w:link w:val="Virsraksts5Rakstz"/>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link w:val="Heading1"/>
    <w:uiPriority w:val="9"/>
    <w:rsid w:val="00994AA3"/>
    <w:rPr>
      <w:b/>
      <w:bCs/>
      <w:sz w:val="24"/>
      <w:szCs w:val="24"/>
    </w:rPr>
  </w:style>
  <w:style w:type="character" w:customStyle="1" w:styleId="Virsraksts2Rakstz">
    <w:name w:val="Virsraksts 2 Rakstz."/>
    <w:link w:val="Heading2"/>
    <w:rsid w:val="00994AA3"/>
    <w:rPr>
      <w:b/>
      <w:sz w:val="24"/>
    </w:rPr>
  </w:style>
  <w:style w:type="character" w:customStyle="1" w:styleId="Virsraksts3Rakstz">
    <w:name w:val="Virsraksts 3 Rakstz."/>
    <w:link w:val="Heading3"/>
    <w:rsid w:val="00994AA3"/>
    <w:rPr>
      <w:b/>
      <w:color w:val="FF0000"/>
      <w:sz w:val="44"/>
    </w:rPr>
  </w:style>
  <w:style w:type="character" w:customStyle="1" w:styleId="Virsraksts4Rakstz">
    <w:name w:val="Virsraksts 4 Rakstz."/>
    <w:link w:val="Heading4"/>
    <w:uiPriority w:val="9"/>
    <w:rsid w:val="00994AA3"/>
    <w:rPr>
      <w:b/>
      <w:bCs/>
      <w:sz w:val="24"/>
      <w:szCs w:val="24"/>
    </w:rPr>
  </w:style>
  <w:style w:type="character" w:customStyle="1" w:styleId="Virsraksts5Rakstz">
    <w:name w:val="Virsraksts 5 Rakstz."/>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CittsRakstz"/>
    <w:uiPriority w:val="29"/>
    <w:qFormat/>
    <w:rsid w:val="00994AA3"/>
    <w:rPr>
      <w:i/>
      <w:sz w:val="28"/>
      <w:szCs w:val="28"/>
    </w:rPr>
  </w:style>
  <w:style w:type="character" w:customStyle="1" w:styleId="CittsRakstz">
    <w:name w:val="Citāts Rakstz."/>
    <w:link w:val="Quote"/>
    <w:uiPriority w:val="29"/>
    <w:rsid w:val="00994AA3"/>
    <w:rPr>
      <w:i/>
      <w:sz w:val="28"/>
      <w:szCs w:val="28"/>
    </w:rPr>
  </w:style>
  <w:style w:type="paragraph" w:styleId="Header">
    <w:name w:val="header"/>
    <w:basedOn w:val="Normal"/>
    <w:link w:val="GalveneRakstz"/>
    <w:rsid w:val="00A24A6B"/>
    <w:pPr>
      <w:tabs>
        <w:tab w:val="center" w:pos="4320"/>
        <w:tab w:val="right" w:pos="8640"/>
      </w:tabs>
    </w:pPr>
    <w:rPr>
      <w:rFonts w:ascii="Arial" w:hAnsi="Arial"/>
      <w:sz w:val="24"/>
    </w:rPr>
  </w:style>
  <w:style w:type="character" w:customStyle="1" w:styleId="GalveneRakstz">
    <w:name w:val="Galvene Rakstz."/>
    <w:link w:val="Header"/>
    <w:rsid w:val="00A24A6B"/>
    <w:rPr>
      <w:rFonts w:ascii="Arial" w:eastAsia="Times New Roman" w:hAnsi="Arial"/>
      <w:sz w:val="24"/>
      <w:lang w:eastAsia="en-US"/>
    </w:rPr>
  </w:style>
  <w:style w:type="table" w:styleId="TableGrid">
    <w:name w:val="Table Grid"/>
    <w:basedOn w:val="TableNormal"/>
    <w:uiPriority w:val="3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uiPriority w:val="99"/>
    <w:unhideWhenUsed/>
    <w:rsid w:val="00CD015F"/>
    <w:pPr>
      <w:tabs>
        <w:tab w:val="center" w:pos="4153"/>
        <w:tab w:val="right" w:pos="8306"/>
      </w:tabs>
    </w:pPr>
  </w:style>
  <w:style w:type="character" w:customStyle="1" w:styleId="KjeneRakstz">
    <w:name w:val="Kājene Rakstz."/>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VrestekstsRakstz"/>
    <w:uiPriority w:val="99"/>
    <w:semiHidden/>
    <w:unhideWhenUsed/>
    <w:rsid w:val="004B736B"/>
    <w:rPr>
      <w:rFonts w:asciiTheme="minorHAnsi" w:eastAsiaTheme="minorHAnsi" w:hAnsiTheme="minorHAnsi" w:cstheme="minorBidi"/>
      <w14:ligatures w14:val="standardContextual"/>
    </w:rPr>
  </w:style>
  <w:style w:type="character" w:customStyle="1" w:styleId="VrestekstsRakstz">
    <w:name w:val="Vēres teksts Rakstz."/>
    <w:basedOn w:val="DefaultParagraphFont"/>
    <w:link w:val="FootnoteText"/>
    <w:uiPriority w:val="99"/>
    <w:semiHidden/>
    <w:rsid w:val="004B736B"/>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4B736B"/>
    <w:rPr>
      <w:vertAlign w:val="superscript"/>
    </w:rPr>
  </w:style>
  <w:style w:type="character" w:styleId="Hyperlink">
    <w:name w:val="Hyperlink"/>
    <w:basedOn w:val="DefaultParagraphFont"/>
    <w:uiPriority w:val="99"/>
    <w:unhideWhenUsed/>
    <w:rsid w:val="004B736B"/>
    <w:rPr>
      <w:color w:val="0563C1" w:themeColor="hyperlink"/>
      <w:u w:val="single"/>
    </w:rPr>
  </w:style>
  <w:style w:type="character" w:styleId="UnresolvedMention">
    <w:name w:val="Unresolved Mention"/>
    <w:basedOn w:val="DefaultParagraphFont"/>
    <w:uiPriority w:val="99"/>
    <w:semiHidden/>
    <w:unhideWhenUsed/>
    <w:rsid w:val="00DD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yperlink" Target="https://www.spkc.gov.lv/lv/masalas" TargetMode="External" /><Relationship Id="rId8" Type="http://schemas.openxmlformats.org/officeDocument/2006/relationships/hyperlink" Target="https://www.spkc.gov.lv/lv/media/25073/download?attachment"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ppdb.mk.gov.lv/wp-content/uploads/2026/02/Vakcinacijas_kavejoso_iemeslu_prevalences_petijums_zinojums.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63B8-A87E-41BA-B74B-7E09BB5C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4_vestule_elektroniskais_paraksts_valsts_valoda_pilnkrasu.dotx</Template>
  <TotalTime>19</TotalTime>
  <Pages>3</Pages>
  <Words>771</Words>
  <Characters>4399</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Inguna Švarcbaha</cp:lastModifiedBy>
  <cp:revision>10</cp:revision>
  <cp:lastPrinted>2016-02-15T06:53:00Z</cp:lastPrinted>
  <dcterms:created xsi:type="dcterms:W3CDTF">2020-02-27T07:31:00Z</dcterms:created>
  <dcterms:modified xsi:type="dcterms:W3CDTF">2026-03-31T10:45:00Z</dcterms:modified>
</cp:coreProperties>
</file>