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45FE41DC" w:rsidR="00DB19FC" w:rsidRPr="00E07FE3" w:rsidRDefault="0050600B" w:rsidP="00DB19FC">
      <w:pPr>
        <w:rPr>
          <w:rFonts w:ascii="Calibri" w:hAnsi="Calibri" w:cs="Calibri"/>
          <w:b/>
          <w:bCs/>
        </w:rPr>
      </w:pPr>
      <w:r>
        <w:rPr>
          <w:rFonts w:ascii="Calibri" w:hAnsi="Calibri" w:cs="Calibri"/>
          <w:b/>
          <w:bCs/>
        </w:rPr>
        <w:t>1</w:t>
      </w:r>
      <w:r w:rsidR="005247CE">
        <w:rPr>
          <w:rFonts w:ascii="Calibri" w:hAnsi="Calibri" w:cs="Calibri"/>
          <w:b/>
          <w:bCs/>
        </w:rPr>
        <w:t>4</w:t>
      </w:r>
      <w:r w:rsidR="00BE4953" w:rsidRPr="00E07FE3">
        <w:rPr>
          <w:rFonts w:ascii="Calibri" w:hAnsi="Calibri" w:cs="Calibri"/>
          <w:b/>
          <w:bCs/>
        </w:rPr>
        <w:t>.0</w:t>
      </w:r>
      <w:r w:rsidR="00FB01BB" w:rsidRPr="00E07FE3">
        <w:rPr>
          <w:rFonts w:ascii="Calibri" w:hAnsi="Calibri" w:cs="Calibri"/>
          <w:b/>
          <w:bCs/>
        </w:rPr>
        <w:t>4</w:t>
      </w:r>
      <w:r w:rsidR="00BE4953" w:rsidRPr="00E07FE3">
        <w:rPr>
          <w:rFonts w:ascii="Calibri" w:hAnsi="Calibri" w:cs="Calibri"/>
          <w:b/>
          <w:bCs/>
        </w:rPr>
        <w:t>.2026</w:t>
      </w:r>
    </w:p>
    <w:p w14:paraId="49C57E47" w14:textId="77777777" w:rsidR="0097747B" w:rsidRPr="00E07FE3" w:rsidRDefault="0097747B" w:rsidP="00FB16C8">
      <w:pPr>
        <w:rPr>
          <w:rFonts w:ascii="Calibri" w:hAnsi="Calibri" w:cs="Calibri"/>
        </w:rPr>
      </w:pPr>
      <w:r w:rsidRPr="00E07FE3">
        <w:rPr>
          <w:rFonts w:ascii="Calibri" w:hAnsi="Calibri" w:cs="Calibri"/>
          <w:b/>
          <w:bCs/>
        </w:rPr>
        <w:t>E-pasta nosaukums</w:t>
      </w:r>
      <w:r w:rsidRPr="00E07FE3">
        <w:rPr>
          <w:rFonts w:ascii="Calibri" w:hAnsi="Calibri" w:cs="Calibri"/>
        </w:rPr>
        <w:t xml:space="preserve"> </w:t>
      </w:r>
    </w:p>
    <w:p w14:paraId="577C5557" w14:textId="77777777" w:rsidR="005247CE" w:rsidRDefault="005247CE" w:rsidP="00F97A82">
      <w:pPr>
        <w:rPr>
          <w:rFonts w:ascii="Calibri" w:hAnsi="Calibri" w:cs="Calibri"/>
          <w:kern w:val="0"/>
          <w:lang w:eastAsia="lv-LV"/>
          <w14:ligatures w14:val="none"/>
        </w:rPr>
      </w:pPr>
      <w:r w:rsidRPr="005247CE">
        <w:rPr>
          <w:rFonts w:ascii="Calibri" w:hAnsi="Calibri" w:cs="Calibri"/>
          <w:kern w:val="0"/>
          <w:lang w:eastAsia="lv-LV"/>
          <w14:ligatures w14:val="none"/>
        </w:rPr>
        <w:t xml:space="preserve">Par </w:t>
      </w:r>
      <w:proofErr w:type="spellStart"/>
      <w:r w:rsidRPr="005247CE">
        <w:rPr>
          <w:rFonts w:ascii="Calibri" w:hAnsi="Calibri" w:cs="Calibri"/>
          <w:kern w:val="0"/>
          <w:lang w:eastAsia="lv-LV"/>
          <w14:ligatures w14:val="none"/>
        </w:rPr>
        <w:t>digitalizācijas</w:t>
      </w:r>
      <w:proofErr w:type="spellEnd"/>
      <w:r w:rsidRPr="005247CE">
        <w:rPr>
          <w:rFonts w:ascii="Calibri" w:hAnsi="Calibri" w:cs="Calibri"/>
          <w:kern w:val="0"/>
          <w:lang w:eastAsia="lv-LV"/>
          <w14:ligatures w14:val="none"/>
        </w:rPr>
        <w:t xml:space="preserve"> atbalsta maksājumu </w:t>
      </w:r>
    </w:p>
    <w:p w14:paraId="5A9F8A4D" w14:textId="3354CE55" w:rsidR="00F97A82" w:rsidRPr="00E07FE3" w:rsidRDefault="00F97A82" w:rsidP="00F97A82">
      <w:pPr>
        <w:rPr>
          <w:rFonts w:ascii="Calibri" w:hAnsi="Calibri" w:cs="Calibri"/>
          <w:b/>
          <w:bCs/>
        </w:rPr>
      </w:pPr>
      <w:r w:rsidRPr="00E07FE3">
        <w:rPr>
          <w:rFonts w:ascii="Calibri" w:hAnsi="Calibri" w:cs="Calibri"/>
          <w:b/>
          <w:bCs/>
        </w:rPr>
        <w:t>E-pasta teksts</w:t>
      </w:r>
    </w:p>
    <w:p w14:paraId="5085B97E" w14:textId="77777777" w:rsidR="005247CE" w:rsidRDefault="005247CE" w:rsidP="005247CE">
      <w:pPr>
        <w:pStyle w:val="xmsonormal"/>
        <w:rPr>
          <w:rFonts w:ascii="Calibri" w:hAnsi="Calibri" w:cs="Calibri"/>
        </w:rPr>
      </w:pPr>
      <w:r>
        <w:rPr>
          <w:rFonts w:ascii="Calibri" w:hAnsi="Calibri" w:cs="Calibri"/>
        </w:rPr>
        <w:t>Labdien!</w:t>
      </w:r>
    </w:p>
    <w:p w14:paraId="3529EEE4" w14:textId="77777777" w:rsidR="005247CE" w:rsidRDefault="005247CE" w:rsidP="005247CE">
      <w:pPr>
        <w:pStyle w:val="xmsonormal"/>
        <w:rPr>
          <w:rFonts w:ascii="Calibri" w:hAnsi="Calibri" w:cs="Calibri"/>
        </w:rPr>
      </w:pPr>
    </w:p>
    <w:p w14:paraId="24BE6BAF" w14:textId="77777777" w:rsidR="005247CE" w:rsidRDefault="005247CE" w:rsidP="005247CE">
      <w:pPr>
        <w:pStyle w:val="xparagraph"/>
        <w:spacing w:before="0" w:beforeAutospacing="0" w:after="0" w:afterAutospacing="0"/>
        <w:ind w:firstLine="720"/>
        <w:jc w:val="both"/>
        <w:textAlignment w:val="baseline"/>
        <w:rPr>
          <w:rFonts w:ascii="Calibri" w:hAnsi="Calibri" w:cs="Calibri"/>
        </w:rPr>
      </w:pPr>
      <w:r>
        <w:rPr>
          <w:rStyle w:val="xnormaltextrun"/>
          <w:rFonts w:ascii="Calibri" w:hAnsi="Calibri" w:cs="Calibri"/>
          <w:sz w:val="22"/>
          <w:szCs w:val="22"/>
        </w:rPr>
        <w:t>Nacionālais veselības dienests informē, ka saskaņā ar Ministru kabineta 2018. gada 28. augusta noteikumu Nr. 555 “Veselības aprūpes pakalpojumu organizēšanas un samaksas kārtība” (turpmāk – MK noteikumi Nr. 555) 286. punktu Dienests nodrošina finansējumu ārstniecības iestādēm maksājumu </w:t>
      </w:r>
      <w:proofErr w:type="spellStart"/>
      <w:r>
        <w:rPr>
          <w:rStyle w:val="xnormaltextrun"/>
          <w:rFonts w:ascii="Calibri" w:hAnsi="Calibri" w:cs="Calibri"/>
          <w:sz w:val="22"/>
          <w:szCs w:val="22"/>
        </w:rPr>
        <w:t>digitalizācijas</w:t>
      </w:r>
      <w:proofErr w:type="spellEnd"/>
      <w:r>
        <w:rPr>
          <w:rStyle w:val="xnormaltextrun"/>
          <w:rFonts w:ascii="Calibri" w:hAnsi="Calibri" w:cs="Calibri"/>
          <w:sz w:val="22"/>
          <w:szCs w:val="22"/>
        </w:rPr>
        <w:t> atbalstam.</w:t>
      </w:r>
      <w:r>
        <w:rPr>
          <w:rStyle w:val="xeop"/>
          <w:rFonts w:ascii="Calibri" w:hAnsi="Calibri" w:cs="Calibri"/>
          <w:sz w:val="22"/>
          <w:szCs w:val="22"/>
        </w:rPr>
        <w:t> </w:t>
      </w:r>
    </w:p>
    <w:p w14:paraId="3835DDA9" w14:textId="77777777" w:rsidR="005247CE" w:rsidRDefault="005247CE" w:rsidP="005247CE">
      <w:pPr>
        <w:pStyle w:val="xparagraph"/>
        <w:spacing w:before="0" w:beforeAutospacing="0" w:after="0" w:afterAutospacing="0"/>
        <w:ind w:firstLine="720"/>
        <w:jc w:val="both"/>
        <w:textAlignment w:val="baseline"/>
        <w:rPr>
          <w:rFonts w:ascii="Calibri" w:hAnsi="Calibri" w:cs="Calibri"/>
        </w:rPr>
      </w:pPr>
      <w:r>
        <w:rPr>
          <w:rStyle w:val="xnormaltextrun"/>
          <w:rFonts w:ascii="Calibri" w:hAnsi="Calibri" w:cs="Calibri"/>
          <w:sz w:val="22"/>
          <w:szCs w:val="22"/>
        </w:rPr>
        <w:t>Atbilstoši MK noteikumu Nr. 555 286. punktam Dienests līdz 2026. gada 1. novembrim izmaksā vienai ārstniecības iestādei finansējumu 15 120 </w:t>
      </w:r>
      <w:proofErr w:type="spellStart"/>
      <w:r>
        <w:rPr>
          <w:rStyle w:val="xnormaltextrun"/>
          <w:rFonts w:ascii="Calibri" w:hAnsi="Calibri" w:cs="Calibri"/>
          <w:sz w:val="22"/>
          <w:szCs w:val="22"/>
        </w:rPr>
        <w:t>euro</w:t>
      </w:r>
      <w:proofErr w:type="spellEnd"/>
      <w:r>
        <w:rPr>
          <w:rStyle w:val="xnormaltextrun"/>
          <w:rFonts w:ascii="Calibri" w:hAnsi="Calibri" w:cs="Calibri"/>
          <w:sz w:val="22"/>
          <w:szCs w:val="22"/>
        </w:rPr>
        <w:t> apmērā, ja tiek vienlaikus izpildīti normatīvajos aktos noteiktie nosacījumi:</w:t>
      </w:r>
      <w:r>
        <w:rPr>
          <w:rStyle w:val="xeop"/>
          <w:rFonts w:ascii="Calibri" w:hAnsi="Calibri" w:cs="Calibri"/>
          <w:sz w:val="22"/>
          <w:szCs w:val="22"/>
        </w:rPr>
        <w:t> </w:t>
      </w:r>
    </w:p>
    <w:p w14:paraId="05856202" w14:textId="77777777" w:rsidR="005247CE" w:rsidRDefault="005247CE" w:rsidP="007F6BBA">
      <w:pPr>
        <w:pStyle w:val="xparagraph"/>
        <w:spacing w:before="0" w:beforeAutospacing="0" w:after="0" w:afterAutospacing="0"/>
        <w:ind w:left="709"/>
        <w:jc w:val="both"/>
        <w:textAlignment w:val="baseline"/>
        <w:rPr>
          <w:rFonts w:ascii="Calibri" w:hAnsi="Calibri" w:cs="Calibri"/>
        </w:rPr>
      </w:pPr>
      <w:r>
        <w:rPr>
          <w:rFonts w:ascii="Calibri" w:hAnsi="Calibri" w:cs="Calibri"/>
          <w:sz w:val="22"/>
          <w:szCs w:val="22"/>
        </w:rPr>
        <w:t>1.</w:t>
      </w:r>
      <w:r>
        <w:rPr>
          <w:rFonts w:ascii="Calibri" w:hAnsi="Calibri" w:cs="Calibri"/>
          <w:sz w:val="14"/>
          <w:szCs w:val="14"/>
        </w:rPr>
        <w:t xml:space="preserve">     </w:t>
      </w:r>
      <w:r>
        <w:rPr>
          <w:rStyle w:val="xnormaltextrun"/>
          <w:rFonts w:ascii="Calibri" w:hAnsi="Calibri" w:cs="Calibri"/>
          <w:sz w:val="22"/>
          <w:szCs w:val="22"/>
        </w:rPr>
        <w:t>Līdz š.g. 1. maijam Ārstniecības iestādei ir pienākums nodrošināt visu nosūtījumu ambulatoro un stacionāro valsts apmaksāto veselības aprūpes pakalpojumu saņemšanai sagatavošanu, ievietošanu un apstrādi veselības informācijas sistēmā atbilstoši normatīvajiem aktiem par vienoto veselības nozares elektronisko informācijas sistēmu. </w:t>
      </w:r>
      <w:r>
        <w:rPr>
          <w:rStyle w:val="xeop"/>
          <w:rFonts w:ascii="Calibri" w:hAnsi="Calibri" w:cs="Calibri"/>
          <w:sz w:val="22"/>
          <w:szCs w:val="22"/>
        </w:rPr>
        <w:t> </w:t>
      </w:r>
    </w:p>
    <w:p w14:paraId="690D9062" w14:textId="77777777" w:rsidR="005247CE" w:rsidRDefault="005247CE" w:rsidP="007F6BBA">
      <w:pPr>
        <w:pStyle w:val="xparagraph"/>
        <w:spacing w:before="0" w:beforeAutospacing="0" w:after="0" w:afterAutospacing="0"/>
        <w:ind w:left="709"/>
        <w:jc w:val="both"/>
        <w:textAlignment w:val="baseline"/>
        <w:rPr>
          <w:rFonts w:ascii="Calibri" w:hAnsi="Calibri" w:cs="Calibri"/>
        </w:rPr>
      </w:pPr>
      <w:r>
        <w:rPr>
          <w:rFonts w:ascii="Calibri" w:hAnsi="Calibri" w:cs="Calibri"/>
          <w:sz w:val="22"/>
          <w:szCs w:val="22"/>
        </w:rPr>
        <w:t>2.</w:t>
      </w:r>
      <w:r>
        <w:rPr>
          <w:rFonts w:ascii="Calibri" w:hAnsi="Calibri" w:cs="Calibri"/>
          <w:sz w:val="14"/>
          <w:szCs w:val="14"/>
        </w:rPr>
        <w:t xml:space="preserve">     </w:t>
      </w:r>
      <w:r>
        <w:rPr>
          <w:rStyle w:val="xnormaltextrun"/>
          <w:rFonts w:ascii="Calibri" w:hAnsi="Calibri" w:cs="Calibri"/>
          <w:sz w:val="22"/>
          <w:szCs w:val="22"/>
        </w:rPr>
        <w:t>Līdz š.g. 1 septembrim un nodrošināt savas elektroniskās pieraksta sistēmas (kalendāra) atvēršanu vienotam elektroniskajam pierakstam veselības informācijas sistēmā. </w:t>
      </w:r>
      <w:r>
        <w:rPr>
          <w:rStyle w:val="xeop"/>
          <w:rFonts w:ascii="Calibri" w:hAnsi="Calibri" w:cs="Calibri"/>
          <w:sz w:val="22"/>
          <w:szCs w:val="22"/>
        </w:rPr>
        <w:t> </w:t>
      </w:r>
    </w:p>
    <w:p w14:paraId="4868FF81" w14:textId="77777777" w:rsidR="005247CE" w:rsidRDefault="005247CE" w:rsidP="005247CE">
      <w:pPr>
        <w:pStyle w:val="xparagraph"/>
        <w:spacing w:before="0" w:beforeAutospacing="0" w:after="0" w:afterAutospacing="0"/>
        <w:ind w:firstLine="720"/>
        <w:jc w:val="both"/>
        <w:textAlignment w:val="baseline"/>
        <w:rPr>
          <w:rFonts w:ascii="Calibri" w:hAnsi="Calibri" w:cs="Calibri"/>
        </w:rPr>
      </w:pPr>
      <w:r>
        <w:rPr>
          <w:rStyle w:val="xnormaltextrun"/>
          <w:rFonts w:ascii="Calibri" w:hAnsi="Calibri" w:cs="Calibri"/>
          <w:sz w:val="22"/>
          <w:szCs w:val="22"/>
        </w:rPr>
        <w:t>Minētais finansējums piemērojams ārstniecības iestādēm, kas sniedz valsts apmaksātus sekundāros ambulatoros veselības aprūpes pakalpojumus, kuru sniegto pakalpojumu gada apjoms pārsniedz 500 000 </w:t>
      </w:r>
      <w:proofErr w:type="spellStart"/>
      <w:r>
        <w:rPr>
          <w:rStyle w:val="xnormaltextrun"/>
          <w:rFonts w:ascii="Calibri" w:hAnsi="Calibri" w:cs="Calibri"/>
          <w:sz w:val="22"/>
          <w:szCs w:val="22"/>
        </w:rPr>
        <w:t>euro</w:t>
      </w:r>
      <w:proofErr w:type="spellEnd"/>
      <w:r>
        <w:rPr>
          <w:rStyle w:val="xnormaltextrun"/>
          <w:rFonts w:ascii="Calibri" w:hAnsi="Calibri" w:cs="Calibri"/>
          <w:sz w:val="22"/>
          <w:szCs w:val="22"/>
        </w:rPr>
        <w:t> un kas nodrošina veselības aprūpes pakalpojumus vismaz divos no šādiem veidiem: izmeklējumi, dienas stacionārs, rehabilitācija, speciālistu konsultācijas.</w:t>
      </w:r>
      <w:r>
        <w:rPr>
          <w:rStyle w:val="xeop"/>
          <w:rFonts w:ascii="Calibri" w:hAnsi="Calibri" w:cs="Calibri"/>
          <w:sz w:val="22"/>
          <w:szCs w:val="22"/>
        </w:rPr>
        <w:t> </w:t>
      </w:r>
    </w:p>
    <w:p w14:paraId="7F1ED406" w14:textId="77777777" w:rsidR="005247CE" w:rsidRDefault="005247CE" w:rsidP="005247CE">
      <w:pPr>
        <w:pStyle w:val="xparagraph"/>
        <w:spacing w:before="0" w:beforeAutospacing="0" w:after="0" w:afterAutospacing="0"/>
        <w:ind w:firstLine="720"/>
        <w:jc w:val="both"/>
        <w:textAlignment w:val="baseline"/>
        <w:rPr>
          <w:rFonts w:ascii="Calibri" w:hAnsi="Calibri" w:cs="Calibri"/>
        </w:rPr>
      </w:pPr>
      <w:r>
        <w:rPr>
          <w:rStyle w:val="xnormaltextrun"/>
          <w:rFonts w:ascii="Calibri" w:hAnsi="Calibri" w:cs="Calibri"/>
          <w:sz w:val="22"/>
          <w:szCs w:val="22"/>
        </w:rPr>
        <w:t>Nosūtījumu </w:t>
      </w:r>
      <w:proofErr w:type="spellStart"/>
      <w:r>
        <w:rPr>
          <w:rStyle w:val="xnormaltextrun"/>
          <w:rFonts w:ascii="Calibri" w:hAnsi="Calibri" w:cs="Calibri"/>
          <w:sz w:val="22"/>
          <w:szCs w:val="22"/>
        </w:rPr>
        <w:t>digitalizācija</w:t>
      </w:r>
      <w:proofErr w:type="spellEnd"/>
      <w:r>
        <w:rPr>
          <w:rStyle w:val="xnormaltextrun"/>
          <w:rFonts w:ascii="Calibri" w:hAnsi="Calibri" w:cs="Calibri"/>
          <w:sz w:val="22"/>
          <w:szCs w:val="22"/>
        </w:rPr>
        <w:t> un vienota elektroniskā pieraksta nodrošināšana ir būtiska, lai veicinātu veselības aprūpes pakalpojumu efektīvāku organizēšanu, uzlabotu pacientu piekļuvi veselības aprūpes pakalpojumiem, kā arī nodrošinātu vienotu un caurspīdīgu valsts apmaksāto veselības aprūpes pakalpojumu uzraudzību. Šo prasību izpilde ir uzskatāma par nozīmīgu priekšnoteikumu turpmākai sadarbībai ar Dienestu valsts apmaksāto veselības aprūpes pakalpojumu nodrošināšanā.</w:t>
      </w:r>
      <w:r>
        <w:rPr>
          <w:rStyle w:val="xeop"/>
          <w:rFonts w:ascii="Calibri" w:hAnsi="Calibri" w:cs="Calibri"/>
          <w:sz w:val="22"/>
          <w:szCs w:val="22"/>
        </w:rPr>
        <w:t> </w:t>
      </w:r>
    </w:p>
    <w:p w14:paraId="5CB8D40D" w14:textId="77777777" w:rsidR="005247CE" w:rsidRDefault="005247CE" w:rsidP="005247CE">
      <w:pPr>
        <w:pStyle w:val="xparagraph"/>
        <w:spacing w:before="0" w:beforeAutospacing="0" w:after="0" w:afterAutospacing="0"/>
        <w:ind w:firstLine="720"/>
        <w:jc w:val="both"/>
        <w:textAlignment w:val="baseline"/>
        <w:rPr>
          <w:rStyle w:val="xeop"/>
          <w:rFonts w:ascii="Calibri" w:hAnsi="Calibri" w:cs="Calibri"/>
          <w:sz w:val="22"/>
          <w:szCs w:val="22"/>
        </w:rPr>
      </w:pPr>
      <w:r>
        <w:rPr>
          <w:rStyle w:val="xnormaltextrun"/>
          <w:rFonts w:ascii="Calibri" w:hAnsi="Calibri" w:cs="Calibri"/>
          <w:sz w:val="22"/>
          <w:szCs w:val="22"/>
        </w:rPr>
        <w:t>Par izvirzīto nosacījumu izpildi Nacionālais veselības dienests iegūs informāciju no Latvijas Digitālās veselības centra un par rezultātiem informēs ārstniecības iestādes individuāli. Jautājumu vai neskaidrību gadījumā lūdzam vērsties Nacionālajā veselības dienestā saskaņā ar līdzšinējo sadarbības kārtību.</w:t>
      </w:r>
      <w:r>
        <w:rPr>
          <w:rStyle w:val="xeop"/>
          <w:rFonts w:ascii="Calibri" w:hAnsi="Calibri" w:cs="Calibri"/>
          <w:sz w:val="22"/>
          <w:szCs w:val="22"/>
        </w:rPr>
        <w:t> </w:t>
      </w:r>
    </w:p>
    <w:p w14:paraId="2CBC8857" w14:textId="77777777" w:rsidR="005247CE" w:rsidRDefault="005247CE" w:rsidP="005247CE">
      <w:pPr>
        <w:pStyle w:val="xparagraph"/>
        <w:spacing w:before="0" w:beforeAutospacing="0" w:after="0" w:afterAutospacing="0"/>
        <w:ind w:firstLine="720"/>
        <w:jc w:val="both"/>
        <w:textAlignment w:val="baseline"/>
        <w:rPr>
          <w:rFonts w:ascii="Calibri" w:hAnsi="Calibri" w:cs="Calibri"/>
        </w:rPr>
      </w:pPr>
    </w:p>
    <w:p w14:paraId="16A89007" w14:textId="2E0F7415" w:rsidR="00DB295A" w:rsidRPr="00E07FE3" w:rsidRDefault="00C036D7" w:rsidP="00C036D7">
      <w:pPr>
        <w:jc w:val="both"/>
        <w:rPr>
          <w:rFonts w:ascii="Calibri" w:hAnsi="Calibri" w:cs="Calibri"/>
        </w:rPr>
      </w:pPr>
      <w:r w:rsidRPr="00E07FE3">
        <w:rPr>
          <w:rFonts w:ascii="Calibri" w:hAnsi="Calibri" w:cs="Calibri"/>
        </w:rPr>
        <w:t>Ar cieņu</w:t>
      </w:r>
    </w:p>
    <w:p w14:paraId="2E2158C7" w14:textId="1E46A159" w:rsidR="00C036D7" w:rsidRPr="00E07FE3" w:rsidRDefault="00C036D7" w:rsidP="00C036D7">
      <w:pPr>
        <w:jc w:val="both"/>
        <w:rPr>
          <w:rFonts w:ascii="Calibri" w:hAnsi="Calibri" w:cs="Calibri"/>
        </w:rPr>
      </w:pPr>
      <w:r w:rsidRPr="00E07FE3">
        <w:rPr>
          <w:rFonts w:ascii="Calibri" w:hAnsi="Calibri" w:cs="Calibri"/>
        </w:rPr>
        <w:t>Nacionālais veselības dienests</w:t>
      </w:r>
    </w:p>
    <w:p w14:paraId="360CB577" w14:textId="77777777" w:rsidR="006B3BC5" w:rsidRPr="00E07FE3" w:rsidRDefault="006B3BC5" w:rsidP="00F97A82">
      <w:pPr>
        <w:rPr>
          <w:rFonts w:ascii="Calibri" w:hAnsi="Calibri" w:cs="Calibri"/>
          <w:b/>
          <w:bCs/>
        </w:rPr>
      </w:pPr>
    </w:p>
    <w:sectPr w:rsidR="006B3BC5" w:rsidRPr="00E07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16"/>
  </w:num>
  <w:num w:numId="2" w16cid:durableId="1685589679">
    <w:abstractNumId w:val="9"/>
  </w:num>
  <w:num w:numId="3" w16cid:durableId="429666376">
    <w:abstractNumId w:val="10"/>
  </w:num>
  <w:num w:numId="4" w16cid:durableId="226380773">
    <w:abstractNumId w:val="13"/>
  </w:num>
  <w:num w:numId="5" w16cid:durableId="188951204">
    <w:abstractNumId w:val="27"/>
  </w:num>
  <w:num w:numId="6" w16cid:durableId="940835991">
    <w:abstractNumId w:val="24"/>
  </w:num>
  <w:num w:numId="7" w16cid:durableId="976836930">
    <w:abstractNumId w:val="25"/>
  </w:num>
  <w:num w:numId="8" w16cid:durableId="2009358490">
    <w:abstractNumId w:val="11"/>
  </w:num>
  <w:num w:numId="9" w16cid:durableId="9281526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8"/>
  </w:num>
  <w:num w:numId="12" w16cid:durableId="393040861">
    <w:abstractNumId w:val="21"/>
  </w:num>
  <w:num w:numId="13" w16cid:durableId="116685617">
    <w:abstractNumId w:val="15"/>
  </w:num>
  <w:num w:numId="14" w16cid:durableId="1515726493">
    <w:abstractNumId w:val="0"/>
  </w:num>
  <w:num w:numId="15" w16cid:durableId="1731229665">
    <w:abstractNumId w:val="1"/>
  </w:num>
  <w:num w:numId="16" w16cid:durableId="1646813356">
    <w:abstractNumId w:val="7"/>
  </w:num>
  <w:num w:numId="17" w16cid:durableId="2019499066">
    <w:abstractNumId w:val="4"/>
  </w:num>
  <w:num w:numId="18" w16cid:durableId="1699038006">
    <w:abstractNumId w:val="12"/>
  </w:num>
  <w:num w:numId="19" w16cid:durableId="2132090680">
    <w:abstractNumId w:val="5"/>
  </w:num>
  <w:num w:numId="20" w16cid:durableId="2040934203">
    <w:abstractNumId w:val="17"/>
  </w:num>
  <w:num w:numId="21" w16cid:durableId="2606446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23"/>
  </w:num>
  <w:num w:numId="25" w16cid:durableId="43918403">
    <w:abstractNumId w:val="20"/>
  </w:num>
  <w:num w:numId="26" w16cid:durableId="2032951866">
    <w:abstractNumId w:val="19"/>
  </w:num>
  <w:num w:numId="27" w16cid:durableId="810052475">
    <w:abstractNumId w:val="22"/>
  </w:num>
  <w:num w:numId="28" w16cid:durableId="1731539411">
    <w:abstractNumId w:val="3"/>
  </w:num>
  <w:num w:numId="29" w16cid:durableId="14187574">
    <w:abstractNumId w:val="2"/>
  </w:num>
  <w:num w:numId="30" w16cid:durableId="755397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56849"/>
    <w:rsid w:val="000574EC"/>
    <w:rsid w:val="00067F33"/>
    <w:rsid w:val="000E36E8"/>
    <w:rsid w:val="000F31BA"/>
    <w:rsid w:val="000F5169"/>
    <w:rsid w:val="00110FF1"/>
    <w:rsid w:val="00136B2D"/>
    <w:rsid w:val="001474E3"/>
    <w:rsid w:val="00164BF0"/>
    <w:rsid w:val="001708DA"/>
    <w:rsid w:val="00170E56"/>
    <w:rsid w:val="00174EDB"/>
    <w:rsid w:val="0017523E"/>
    <w:rsid w:val="00176E64"/>
    <w:rsid w:val="00192A4D"/>
    <w:rsid w:val="001B08DD"/>
    <w:rsid w:val="001B2522"/>
    <w:rsid w:val="001C0CFA"/>
    <w:rsid w:val="002002B8"/>
    <w:rsid w:val="002076D5"/>
    <w:rsid w:val="00213A90"/>
    <w:rsid w:val="0024684E"/>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763A"/>
    <w:rsid w:val="003E7716"/>
    <w:rsid w:val="0040337D"/>
    <w:rsid w:val="00446DF2"/>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7CE"/>
    <w:rsid w:val="005925F6"/>
    <w:rsid w:val="005B069C"/>
    <w:rsid w:val="005B6751"/>
    <w:rsid w:val="005C35A9"/>
    <w:rsid w:val="005E7211"/>
    <w:rsid w:val="005F20E5"/>
    <w:rsid w:val="00613780"/>
    <w:rsid w:val="00645FBD"/>
    <w:rsid w:val="006A6B36"/>
    <w:rsid w:val="006A77D2"/>
    <w:rsid w:val="006B3BC5"/>
    <w:rsid w:val="006C0A79"/>
    <w:rsid w:val="00721048"/>
    <w:rsid w:val="007314AA"/>
    <w:rsid w:val="00751322"/>
    <w:rsid w:val="007A0FFA"/>
    <w:rsid w:val="007F6BBA"/>
    <w:rsid w:val="008274A2"/>
    <w:rsid w:val="0084141B"/>
    <w:rsid w:val="00846D95"/>
    <w:rsid w:val="00847171"/>
    <w:rsid w:val="00856AC6"/>
    <w:rsid w:val="00861302"/>
    <w:rsid w:val="008D2456"/>
    <w:rsid w:val="008D3511"/>
    <w:rsid w:val="008D6BD3"/>
    <w:rsid w:val="008E7079"/>
    <w:rsid w:val="00903238"/>
    <w:rsid w:val="00914225"/>
    <w:rsid w:val="009152D0"/>
    <w:rsid w:val="009624AE"/>
    <w:rsid w:val="0097747B"/>
    <w:rsid w:val="0099272D"/>
    <w:rsid w:val="009C571C"/>
    <w:rsid w:val="009D618C"/>
    <w:rsid w:val="009F4207"/>
    <w:rsid w:val="009F6F44"/>
    <w:rsid w:val="00A34A25"/>
    <w:rsid w:val="00A35EB2"/>
    <w:rsid w:val="00A40A90"/>
    <w:rsid w:val="00A47190"/>
    <w:rsid w:val="00A70919"/>
    <w:rsid w:val="00A712D2"/>
    <w:rsid w:val="00AA658A"/>
    <w:rsid w:val="00AC32E2"/>
    <w:rsid w:val="00AC64CE"/>
    <w:rsid w:val="00AC700A"/>
    <w:rsid w:val="00AD4932"/>
    <w:rsid w:val="00B065BF"/>
    <w:rsid w:val="00B17C76"/>
    <w:rsid w:val="00B35FA4"/>
    <w:rsid w:val="00B52885"/>
    <w:rsid w:val="00B86D1B"/>
    <w:rsid w:val="00B94B12"/>
    <w:rsid w:val="00BC1DA5"/>
    <w:rsid w:val="00BE4953"/>
    <w:rsid w:val="00BF4050"/>
    <w:rsid w:val="00BF5938"/>
    <w:rsid w:val="00C036D7"/>
    <w:rsid w:val="00C04DD2"/>
    <w:rsid w:val="00C10DFB"/>
    <w:rsid w:val="00C12701"/>
    <w:rsid w:val="00C15CD5"/>
    <w:rsid w:val="00C34CC1"/>
    <w:rsid w:val="00C56C93"/>
    <w:rsid w:val="00C578FC"/>
    <w:rsid w:val="00C67F3F"/>
    <w:rsid w:val="00C72897"/>
    <w:rsid w:val="00C8140B"/>
    <w:rsid w:val="00CB0293"/>
    <w:rsid w:val="00CD7100"/>
    <w:rsid w:val="00CE78BE"/>
    <w:rsid w:val="00D05A9B"/>
    <w:rsid w:val="00D20BEC"/>
    <w:rsid w:val="00D32332"/>
    <w:rsid w:val="00D45A4A"/>
    <w:rsid w:val="00D461B3"/>
    <w:rsid w:val="00D47FF1"/>
    <w:rsid w:val="00D95CD7"/>
    <w:rsid w:val="00DA2B92"/>
    <w:rsid w:val="00DB19FC"/>
    <w:rsid w:val="00DB295A"/>
    <w:rsid w:val="00DE1610"/>
    <w:rsid w:val="00E03537"/>
    <w:rsid w:val="00E05D89"/>
    <w:rsid w:val="00E07FE3"/>
    <w:rsid w:val="00E20AFC"/>
    <w:rsid w:val="00E26C3E"/>
    <w:rsid w:val="00E46139"/>
    <w:rsid w:val="00E72EA6"/>
    <w:rsid w:val="00E762C8"/>
    <w:rsid w:val="00E970ED"/>
    <w:rsid w:val="00EA309A"/>
    <w:rsid w:val="00EE7723"/>
    <w:rsid w:val="00EF4D7A"/>
    <w:rsid w:val="00F008CB"/>
    <w:rsid w:val="00F01420"/>
    <w:rsid w:val="00F048AD"/>
    <w:rsid w:val="00F2489D"/>
    <w:rsid w:val="00F45D9A"/>
    <w:rsid w:val="00F460DD"/>
    <w:rsid w:val="00F555AF"/>
    <w:rsid w:val="00F60303"/>
    <w:rsid w:val="00F65C6D"/>
    <w:rsid w:val="00F82831"/>
    <w:rsid w:val="00F97A82"/>
    <w:rsid w:val="00FA5A27"/>
    <w:rsid w:val="00FB01BB"/>
    <w:rsid w:val="00FB16C8"/>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1482</Words>
  <Characters>846</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33</cp:revision>
  <dcterms:created xsi:type="dcterms:W3CDTF">2026-03-16T10:27:00Z</dcterms:created>
  <dcterms:modified xsi:type="dcterms:W3CDTF">2026-04-14T13:14:00Z</dcterms:modified>
</cp:coreProperties>
</file>