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DFAE" w14:textId="337BD195" w:rsidR="00991E9E" w:rsidRPr="009A55BC" w:rsidRDefault="00766223" w:rsidP="009A55BC">
      <w:pPr>
        <w:spacing w:after="0" w:line="240" w:lineRule="auto"/>
        <w:jc w:val="center"/>
        <w:rPr>
          <w:rFonts w:ascii="Times New Roman" w:eastAsia="Times New Roman" w:hAnsi="Times New Roman"/>
          <w:b/>
          <w:sz w:val="24"/>
          <w:szCs w:val="24"/>
        </w:rPr>
      </w:pPr>
      <w:bookmarkStart w:id="0" w:name="_Hlk126926981"/>
      <w:bookmarkStart w:id="1" w:name="_Hlk127744886"/>
      <w:r w:rsidRPr="009A55BC">
        <w:rPr>
          <w:rFonts w:ascii="Times New Roman" w:eastAsia="Times New Roman" w:hAnsi="Times New Roman"/>
          <w:b/>
          <w:sz w:val="24"/>
          <w:szCs w:val="24"/>
        </w:rPr>
        <w:t>Stacionāro plānveida onkoloģisko pakalpojumu pieaugušajiem kvalitātes  vērtēšanas kritērij</w:t>
      </w:r>
      <w:r w:rsidR="00287DF8">
        <w:rPr>
          <w:rFonts w:ascii="Times New Roman" w:eastAsia="Times New Roman" w:hAnsi="Times New Roman"/>
          <w:b/>
          <w:sz w:val="24"/>
          <w:szCs w:val="24"/>
        </w:rPr>
        <w:t>i</w:t>
      </w:r>
    </w:p>
    <w:bookmarkEnd w:id="0"/>
    <w:bookmarkEnd w:id="1"/>
    <w:p w14:paraId="300132A4" w14:textId="77777777" w:rsidR="00991E9E" w:rsidRPr="009A55BC" w:rsidRDefault="00991E9E" w:rsidP="009A55BC">
      <w:pPr>
        <w:spacing w:after="0" w:line="240" w:lineRule="auto"/>
        <w:jc w:val="both"/>
        <w:rPr>
          <w:rFonts w:ascii="Times New Roman" w:hAnsi="Times New Roman"/>
          <w:b/>
          <w:sz w:val="24"/>
          <w:szCs w:val="24"/>
          <w:u w:val="single"/>
        </w:rPr>
      </w:pPr>
    </w:p>
    <w:p w14:paraId="3900958B" w14:textId="552D0439" w:rsidR="00991E9E" w:rsidRPr="009A55BC" w:rsidRDefault="00EC6EFC" w:rsidP="009A55BC">
      <w:pPr>
        <w:numPr>
          <w:ilvl w:val="0"/>
          <w:numId w:val="28"/>
        </w:numPr>
        <w:spacing w:after="0" w:line="240" w:lineRule="auto"/>
        <w:ind w:left="0" w:firstLine="0"/>
        <w:jc w:val="both"/>
        <w:rPr>
          <w:rFonts w:ascii="Times New Roman" w:hAnsi="Times New Roman"/>
          <w:sz w:val="24"/>
          <w:szCs w:val="24"/>
        </w:rPr>
      </w:pPr>
      <w:r w:rsidRPr="009A55BC">
        <w:rPr>
          <w:rFonts w:ascii="Times New Roman" w:hAnsi="Times New Roman"/>
          <w:sz w:val="24"/>
          <w:szCs w:val="24"/>
        </w:rPr>
        <w:t>Stacionāro plānveida onkoloģisko pakalpojumu pieaugušajiem</w:t>
      </w:r>
      <w:r w:rsidR="00991E9E" w:rsidRPr="009A55BC">
        <w:rPr>
          <w:rFonts w:ascii="Times New Roman" w:hAnsi="Times New Roman"/>
          <w:sz w:val="24"/>
          <w:szCs w:val="24"/>
        </w:rPr>
        <w:t xml:space="preserve"> kvalitātes  vērtēšanas kritēriji t</w:t>
      </w:r>
      <w:r w:rsidR="00766223" w:rsidRPr="009A55BC">
        <w:rPr>
          <w:rFonts w:ascii="Times New Roman" w:hAnsi="Times New Roman"/>
          <w:sz w:val="24"/>
          <w:szCs w:val="24"/>
        </w:rPr>
        <w:t>ik</w:t>
      </w:r>
      <w:r w:rsidR="00991E9E" w:rsidRPr="009A55BC">
        <w:rPr>
          <w:rFonts w:ascii="Times New Roman" w:hAnsi="Times New Roman"/>
          <w:sz w:val="24"/>
          <w:szCs w:val="24"/>
        </w:rPr>
        <w:t xml:space="preserve">s vērtēti reizi gadā </w:t>
      </w:r>
      <w:r w:rsidR="00E17C88" w:rsidRPr="009A55BC">
        <w:rPr>
          <w:rFonts w:ascii="Times New Roman" w:hAnsi="Times New Roman"/>
          <w:sz w:val="24"/>
          <w:szCs w:val="24"/>
        </w:rPr>
        <w:t xml:space="preserve">par iepriekšējo kalendāro gadu </w:t>
      </w:r>
      <w:r w:rsidR="00991E9E" w:rsidRPr="009A55BC">
        <w:rPr>
          <w:rFonts w:ascii="Times New Roman" w:hAnsi="Times New Roman"/>
          <w:sz w:val="24"/>
          <w:szCs w:val="24"/>
        </w:rPr>
        <w:t>un Dienests ir tiesīgs pārskatīt līguma nosacījumus vai pārtraukt līgumu par pakalpojumu sniegšanu, ja vērtēšanas kritēriji ir nepieņemamā līmenī</w:t>
      </w:r>
      <w:r w:rsidR="009A55BC" w:rsidRPr="009A55BC">
        <w:rPr>
          <w:rFonts w:ascii="Times New Roman" w:hAnsi="Times New Roman"/>
          <w:sz w:val="24"/>
          <w:szCs w:val="24"/>
        </w:rPr>
        <w:t>.</w:t>
      </w:r>
    </w:p>
    <w:p w14:paraId="6675D8C6" w14:textId="77777777" w:rsidR="00991E9E" w:rsidRPr="009A55BC" w:rsidRDefault="00991E9E" w:rsidP="009A55BC">
      <w:pPr>
        <w:spacing w:after="0" w:line="240" w:lineRule="auto"/>
        <w:jc w:val="both"/>
        <w:rPr>
          <w:rFonts w:ascii="Times New Roman" w:hAnsi="Times New Roman"/>
          <w:sz w:val="24"/>
          <w:szCs w:val="24"/>
        </w:rPr>
      </w:pPr>
    </w:p>
    <w:p w14:paraId="6838F39E" w14:textId="287D6334" w:rsidR="00991E9E" w:rsidRPr="009A55BC" w:rsidRDefault="00991E9E" w:rsidP="009A55BC">
      <w:pPr>
        <w:numPr>
          <w:ilvl w:val="0"/>
          <w:numId w:val="28"/>
        </w:numPr>
        <w:spacing w:after="0" w:line="240" w:lineRule="auto"/>
        <w:ind w:left="0" w:firstLine="0"/>
        <w:jc w:val="both"/>
        <w:rPr>
          <w:rFonts w:ascii="Times New Roman" w:hAnsi="Times New Roman"/>
          <w:sz w:val="24"/>
          <w:szCs w:val="24"/>
        </w:rPr>
      </w:pPr>
      <w:r w:rsidRPr="009A55BC">
        <w:rPr>
          <w:rFonts w:ascii="Times New Roman" w:hAnsi="Times New Roman"/>
          <w:sz w:val="24"/>
          <w:szCs w:val="24"/>
        </w:rPr>
        <w:t>Dienests ir tiesīgs noteikt papildus kvalitātes vērtēšanas kritērijus par to iepriekš rakstiski informējot ārstniecības iestādi</w:t>
      </w:r>
      <w:r w:rsidR="009E325F" w:rsidRPr="009A55BC">
        <w:rPr>
          <w:rFonts w:ascii="Times New Roman" w:hAnsi="Times New Roman"/>
          <w:sz w:val="24"/>
          <w:szCs w:val="24"/>
        </w:rPr>
        <w:t>.</w:t>
      </w:r>
    </w:p>
    <w:p w14:paraId="2B00F687" w14:textId="77777777" w:rsidR="00D278A6" w:rsidRPr="009A55BC" w:rsidRDefault="00D278A6" w:rsidP="009A55BC">
      <w:pPr>
        <w:spacing w:after="0" w:line="240" w:lineRule="auto"/>
        <w:jc w:val="both"/>
        <w:rPr>
          <w:rFonts w:ascii="Times New Roman" w:hAnsi="Times New Roman"/>
          <w:sz w:val="24"/>
          <w:szCs w:val="24"/>
        </w:rPr>
      </w:pPr>
    </w:p>
    <w:p w14:paraId="6BE6F1D3" w14:textId="77777777" w:rsidR="00991E9E" w:rsidRPr="009A55BC" w:rsidRDefault="00991E9E" w:rsidP="009A55BC">
      <w:pPr>
        <w:numPr>
          <w:ilvl w:val="0"/>
          <w:numId w:val="28"/>
        </w:numPr>
        <w:spacing w:after="0" w:line="240" w:lineRule="auto"/>
        <w:ind w:left="0" w:firstLine="0"/>
        <w:jc w:val="both"/>
        <w:rPr>
          <w:rFonts w:ascii="Times New Roman" w:hAnsi="Times New Roman"/>
          <w:sz w:val="24"/>
          <w:szCs w:val="24"/>
        </w:rPr>
      </w:pPr>
      <w:r w:rsidRPr="009A55BC">
        <w:rPr>
          <w:rFonts w:ascii="Times New Roman" w:hAnsi="Times New Roman"/>
          <w:sz w:val="24"/>
          <w:szCs w:val="24"/>
        </w:rPr>
        <w:t>Kritēriju aprēķina metodika:</w:t>
      </w:r>
    </w:p>
    <w:p w14:paraId="4CCE180C" w14:textId="77777777" w:rsidR="009A55BC" w:rsidRDefault="009A55BC" w:rsidP="009A55BC">
      <w:pPr>
        <w:spacing w:after="0" w:line="240" w:lineRule="auto"/>
        <w:jc w:val="both"/>
        <w:rPr>
          <w:rFonts w:ascii="Times New Roman" w:hAnsi="Times New Roman"/>
          <w:sz w:val="24"/>
          <w:szCs w:val="24"/>
        </w:rPr>
      </w:pPr>
    </w:p>
    <w:p w14:paraId="087A3D1B" w14:textId="0B3A0B3F" w:rsidR="00E82384" w:rsidRDefault="00930B46" w:rsidP="009A55BC">
      <w:pPr>
        <w:spacing w:after="0" w:line="240" w:lineRule="auto"/>
        <w:jc w:val="both"/>
        <w:rPr>
          <w:rFonts w:ascii="Times New Roman" w:hAnsi="Times New Roman"/>
          <w:sz w:val="24"/>
          <w:szCs w:val="24"/>
        </w:rPr>
      </w:pPr>
      <w:r w:rsidRPr="009A55BC">
        <w:rPr>
          <w:rFonts w:ascii="Times New Roman" w:hAnsi="Times New Roman"/>
          <w:sz w:val="24"/>
          <w:szCs w:val="24"/>
        </w:rPr>
        <w:t>Kritēriju</w:t>
      </w:r>
      <w:r w:rsidR="00A15F99" w:rsidRPr="009A55BC">
        <w:rPr>
          <w:rFonts w:ascii="Times New Roman" w:hAnsi="Times New Roman"/>
          <w:sz w:val="24"/>
          <w:szCs w:val="24"/>
        </w:rPr>
        <w:t>s</w:t>
      </w:r>
      <w:r w:rsidRPr="009A55BC">
        <w:rPr>
          <w:rFonts w:ascii="Times New Roman" w:hAnsi="Times New Roman"/>
          <w:sz w:val="24"/>
          <w:szCs w:val="24"/>
        </w:rPr>
        <w:t xml:space="preserve"> aprēķina</w:t>
      </w:r>
      <w:r w:rsidR="00103052" w:rsidRPr="009A55BC">
        <w:rPr>
          <w:rFonts w:ascii="Times New Roman" w:hAnsi="Times New Roman"/>
          <w:sz w:val="24"/>
          <w:szCs w:val="24"/>
        </w:rPr>
        <w:t>,</w:t>
      </w:r>
      <w:r w:rsidR="00A15F99" w:rsidRPr="009A55BC">
        <w:rPr>
          <w:rFonts w:ascii="Times New Roman" w:hAnsi="Times New Roman"/>
          <w:sz w:val="24"/>
          <w:szCs w:val="24"/>
        </w:rPr>
        <w:t xml:space="preserve"> izmantojot</w:t>
      </w:r>
      <w:r w:rsidRPr="009A55BC">
        <w:rPr>
          <w:rFonts w:ascii="Times New Roman" w:hAnsi="Times New Roman"/>
          <w:sz w:val="24"/>
          <w:szCs w:val="24"/>
        </w:rPr>
        <w:t xml:space="preserve"> datus no</w:t>
      </w:r>
      <w:r w:rsidR="00452EA6" w:rsidRPr="009A55BC">
        <w:rPr>
          <w:rFonts w:ascii="Times New Roman" w:hAnsi="Times New Roman"/>
          <w:sz w:val="24"/>
          <w:szCs w:val="24"/>
        </w:rPr>
        <w:t xml:space="preserve"> Dienesta</w:t>
      </w:r>
      <w:r w:rsidR="00B75503" w:rsidRPr="009A55BC">
        <w:rPr>
          <w:rFonts w:ascii="Times New Roman" w:hAnsi="Times New Roman"/>
          <w:sz w:val="24"/>
          <w:szCs w:val="24"/>
        </w:rPr>
        <w:t xml:space="preserve"> un Slimību un profilakses kontroles centra</w:t>
      </w:r>
      <w:r w:rsidR="00A15F99" w:rsidRPr="009A55BC">
        <w:rPr>
          <w:rFonts w:ascii="Times New Roman" w:hAnsi="Times New Roman"/>
          <w:sz w:val="24"/>
          <w:szCs w:val="24"/>
        </w:rPr>
        <w:t xml:space="preserve"> </w:t>
      </w:r>
      <w:r w:rsidR="00103052" w:rsidRPr="009A55BC">
        <w:rPr>
          <w:rFonts w:ascii="Times New Roman" w:hAnsi="Times New Roman"/>
          <w:sz w:val="24"/>
          <w:szCs w:val="24"/>
        </w:rPr>
        <w:t xml:space="preserve">pārziņā esošām informācijas sistēmā, </w:t>
      </w:r>
      <w:r w:rsidR="00A15F99" w:rsidRPr="009A55BC">
        <w:rPr>
          <w:rFonts w:ascii="Times New Roman" w:hAnsi="Times New Roman"/>
          <w:sz w:val="24"/>
          <w:szCs w:val="24"/>
        </w:rPr>
        <w:t xml:space="preserve"> piemērojot šādu metodiku:</w:t>
      </w:r>
    </w:p>
    <w:p w14:paraId="7BA48466" w14:textId="77777777" w:rsidR="009A55BC" w:rsidRPr="009A55BC" w:rsidRDefault="009A55BC" w:rsidP="009A55BC">
      <w:pPr>
        <w:spacing w:after="0" w:line="240" w:lineRule="auto"/>
        <w:jc w:val="both"/>
        <w:rPr>
          <w:rFonts w:ascii="Times New Roman" w:hAnsi="Times New Roman"/>
          <w:sz w:val="24"/>
          <w:szCs w:val="24"/>
        </w:rPr>
      </w:pPr>
    </w:p>
    <w:tbl>
      <w:tblPr>
        <w:tblStyle w:val="TableGrid"/>
        <w:tblW w:w="9923" w:type="dxa"/>
        <w:tblInd w:w="-5" w:type="dxa"/>
        <w:tblLook w:val="04A0" w:firstRow="1" w:lastRow="0" w:firstColumn="1" w:lastColumn="0" w:noHBand="0" w:noVBand="1"/>
      </w:tblPr>
      <w:tblGrid>
        <w:gridCol w:w="1287"/>
        <w:gridCol w:w="2824"/>
        <w:gridCol w:w="5812"/>
      </w:tblGrid>
      <w:tr w:rsidR="00592EA9" w:rsidRPr="009A55BC" w14:paraId="2CC94416" w14:textId="77777777" w:rsidTr="009A55BC">
        <w:trPr>
          <w:cantSplit/>
          <w:trHeight w:val="425"/>
        </w:trPr>
        <w:tc>
          <w:tcPr>
            <w:tcW w:w="1287" w:type="dxa"/>
            <w:shd w:val="clear" w:color="auto" w:fill="E7E6E6" w:themeFill="background2"/>
          </w:tcPr>
          <w:p w14:paraId="5486DF11" w14:textId="4DCEDD23" w:rsidR="00607814" w:rsidRPr="009A55BC" w:rsidRDefault="00A15F99" w:rsidP="009A55BC">
            <w:pPr>
              <w:spacing w:line="240" w:lineRule="auto"/>
              <w:jc w:val="center"/>
              <w:rPr>
                <w:rFonts w:ascii="Times New Roman" w:eastAsia="Times New Roman" w:hAnsi="Times New Roman"/>
                <w:bCs/>
                <w:sz w:val="24"/>
                <w:szCs w:val="24"/>
                <w:lang w:eastAsia="lv-LV"/>
              </w:rPr>
            </w:pPr>
            <w:proofErr w:type="spellStart"/>
            <w:r w:rsidRPr="009A55BC">
              <w:rPr>
                <w:rFonts w:ascii="Times New Roman" w:eastAsia="Times New Roman" w:hAnsi="Times New Roman"/>
                <w:bCs/>
                <w:sz w:val="24"/>
                <w:szCs w:val="24"/>
                <w:lang w:eastAsia="lv-LV"/>
              </w:rPr>
              <w:t>N.p.k</w:t>
            </w:r>
            <w:proofErr w:type="spellEnd"/>
            <w:r w:rsidRPr="009A55BC">
              <w:rPr>
                <w:rFonts w:ascii="Times New Roman" w:eastAsia="Times New Roman" w:hAnsi="Times New Roman"/>
                <w:bCs/>
                <w:sz w:val="24"/>
                <w:szCs w:val="24"/>
                <w:lang w:eastAsia="lv-LV"/>
              </w:rPr>
              <w:t>.</w:t>
            </w:r>
          </w:p>
        </w:tc>
        <w:tc>
          <w:tcPr>
            <w:tcW w:w="2824" w:type="dxa"/>
            <w:shd w:val="clear" w:color="auto" w:fill="E7E6E6" w:themeFill="background2"/>
            <w:vAlign w:val="center"/>
          </w:tcPr>
          <w:p w14:paraId="55287A19" w14:textId="77777777" w:rsidR="00607814" w:rsidRPr="009A55BC" w:rsidRDefault="00607814" w:rsidP="009A55BC">
            <w:pPr>
              <w:spacing w:line="240" w:lineRule="auto"/>
              <w:jc w:val="center"/>
              <w:rPr>
                <w:rFonts w:ascii="Times New Roman" w:eastAsia="Times New Roman" w:hAnsi="Times New Roman"/>
                <w:bCs/>
                <w:sz w:val="24"/>
                <w:szCs w:val="24"/>
                <w:lang w:eastAsia="lv-LV"/>
              </w:rPr>
            </w:pPr>
            <w:r w:rsidRPr="009A55BC">
              <w:rPr>
                <w:rFonts w:ascii="Times New Roman" w:eastAsia="Times New Roman" w:hAnsi="Times New Roman"/>
                <w:bCs/>
                <w:sz w:val="24"/>
                <w:szCs w:val="24"/>
                <w:lang w:eastAsia="lv-LV"/>
              </w:rPr>
              <w:t>Kritērijs</w:t>
            </w:r>
          </w:p>
        </w:tc>
        <w:tc>
          <w:tcPr>
            <w:tcW w:w="5812" w:type="dxa"/>
            <w:shd w:val="clear" w:color="auto" w:fill="E7E6E6" w:themeFill="background2"/>
            <w:vAlign w:val="center"/>
          </w:tcPr>
          <w:p w14:paraId="0CE0F2A4" w14:textId="77777777" w:rsidR="00607814" w:rsidRPr="009A55BC" w:rsidRDefault="00607814" w:rsidP="009A55BC">
            <w:pPr>
              <w:spacing w:line="240" w:lineRule="auto"/>
              <w:jc w:val="center"/>
              <w:rPr>
                <w:rFonts w:ascii="Times New Roman" w:eastAsia="Times New Roman" w:hAnsi="Times New Roman"/>
                <w:bCs/>
                <w:sz w:val="24"/>
                <w:szCs w:val="24"/>
                <w:lang w:eastAsia="lv-LV"/>
              </w:rPr>
            </w:pPr>
            <w:r w:rsidRPr="009A55BC">
              <w:rPr>
                <w:rFonts w:ascii="Times New Roman" w:eastAsia="Times New Roman" w:hAnsi="Times New Roman"/>
                <w:bCs/>
                <w:sz w:val="24"/>
                <w:szCs w:val="24"/>
                <w:lang w:eastAsia="lv-LV"/>
              </w:rPr>
              <w:t>Kritērija aprēķina metodika</w:t>
            </w:r>
          </w:p>
        </w:tc>
      </w:tr>
      <w:tr w:rsidR="00592EA9" w:rsidRPr="009A55BC" w14:paraId="15F1A2AC" w14:textId="77777777" w:rsidTr="009A55BC">
        <w:trPr>
          <w:cantSplit/>
        </w:trPr>
        <w:tc>
          <w:tcPr>
            <w:tcW w:w="1287" w:type="dxa"/>
          </w:tcPr>
          <w:p w14:paraId="5B98DB0C" w14:textId="4A0A0C87" w:rsidR="00607814" w:rsidRPr="009A55BC" w:rsidRDefault="00CF2F9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3.1.</w:t>
            </w:r>
          </w:p>
        </w:tc>
        <w:tc>
          <w:tcPr>
            <w:tcW w:w="2824" w:type="dxa"/>
          </w:tcPr>
          <w:p w14:paraId="12183DE5" w14:textId="77777777" w:rsidR="00607814" w:rsidRPr="009A55BC" w:rsidRDefault="00607814"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Radikālo </w:t>
            </w:r>
            <w:proofErr w:type="spellStart"/>
            <w:r w:rsidRPr="009A55BC">
              <w:rPr>
                <w:rFonts w:ascii="Times New Roman" w:hAnsi="Times New Roman"/>
                <w:sz w:val="24"/>
                <w:szCs w:val="24"/>
              </w:rPr>
              <w:t>mastektomiju</w:t>
            </w:r>
            <w:proofErr w:type="spellEnd"/>
            <w:r w:rsidRPr="009A55BC">
              <w:rPr>
                <w:rFonts w:ascii="Times New Roman" w:hAnsi="Times New Roman"/>
                <w:sz w:val="24"/>
                <w:szCs w:val="24"/>
              </w:rPr>
              <w:t xml:space="preserve"> </w:t>
            </w:r>
            <w:r w:rsidR="00DA47D0" w:rsidRPr="009A55BC">
              <w:rPr>
                <w:rFonts w:ascii="Times New Roman" w:hAnsi="Times New Roman"/>
                <w:sz w:val="24"/>
                <w:szCs w:val="24"/>
              </w:rPr>
              <w:t xml:space="preserve">procentuālais </w:t>
            </w:r>
            <w:r w:rsidRPr="009A55BC">
              <w:rPr>
                <w:rFonts w:ascii="Times New Roman" w:hAnsi="Times New Roman"/>
                <w:sz w:val="24"/>
                <w:szCs w:val="24"/>
              </w:rPr>
              <w:t>īpatsvars pacientiem ar dia</w:t>
            </w:r>
            <w:r w:rsidR="00C853F4" w:rsidRPr="009A55BC">
              <w:rPr>
                <w:rFonts w:ascii="Times New Roman" w:hAnsi="Times New Roman"/>
                <w:sz w:val="24"/>
                <w:szCs w:val="24"/>
              </w:rPr>
              <w:t>gnozi C50 agrīnā vēža stadijā (</w:t>
            </w:r>
            <w:r w:rsidRPr="009A55BC">
              <w:rPr>
                <w:rFonts w:ascii="Times New Roman" w:hAnsi="Times New Roman"/>
                <w:sz w:val="24"/>
                <w:szCs w:val="24"/>
              </w:rPr>
              <w:t>1.-2. stadija)</w:t>
            </w:r>
          </w:p>
        </w:tc>
        <w:tc>
          <w:tcPr>
            <w:tcW w:w="5812" w:type="dxa"/>
          </w:tcPr>
          <w:p w14:paraId="66E24191" w14:textId="279ECAA0" w:rsidR="00561609" w:rsidRPr="009A55BC" w:rsidRDefault="00ED330E"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 xml:space="preserve">plānveidā </w:t>
            </w:r>
            <w:r w:rsidR="00744028" w:rsidRPr="009A55BC">
              <w:rPr>
                <w:rFonts w:ascii="Times New Roman" w:hAnsi="Times New Roman"/>
                <w:sz w:val="24"/>
                <w:szCs w:val="24"/>
              </w:rPr>
              <w:t>v</w:t>
            </w:r>
            <w:r w:rsidR="00C853F4" w:rsidRPr="009A55BC">
              <w:rPr>
                <w:rFonts w:ascii="Times New Roman" w:hAnsi="Times New Roman"/>
                <w:sz w:val="24"/>
                <w:szCs w:val="24"/>
              </w:rPr>
              <w:t xml:space="preserve">eikto radikālo </w:t>
            </w:r>
            <w:proofErr w:type="spellStart"/>
            <w:r w:rsidR="00C853F4" w:rsidRPr="009A55BC">
              <w:rPr>
                <w:rFonts w:ascii="Times New Roman" w:hAnsi="Times New Roman"/>
                <w:sz w:val="24"/>
                <w:szCs w:val="24"/>
              </w:rPr>
              <w:t>mastektomiju</w:t>
            </w:r>
            <w:proofErr w:type="spellEnd"/>
            <w:r w:rsidR="00C853F4" w:rsidRPr="009A55BC">
              <w:rPr>
                <w:rFonts w:ascii="Times New Roman" w:hAnsi="Times New Roman"/>
                <w:sz w:val="24"/>
                <w:szCs w:val="24"/>
              </w:rPr>
              <w:t xml:space="preserve"> </w:t>
            </w:r>
            <w:r w:rsidR="0021037C" w:rsidRPr="009A55BC">
              <w:rPr>
                <w:rFonts w:ascii="Times New Roman" w:hAnsi="Times New Roman"/>
                <w:sz w:val="24"/>
                <w:szCs w:val="24"/>
              </w:rPr>
              <w:t xml:space="preserve">(HAC25- </w:t>
            </w:r>
            <w:r w:rsidRPr="009A55BC">
              <w:rPr>
                <w:rFonts w:ascii="Times New Roman" w:hAnsi="Times New Roman"/>
                <w:sz w:val="24"/>
                <w:szCs w:val="24"/>
              </w:rPr>
              <w:t>r</w:t>
            </w:r>
            <w:r w:rsidR="0021037C" w:rsidRPr="009A55BC">
              <w:rPr>
                <w:rFonts w:ascii="Times New Roman" w:hAnsi="Times New Roman"/>
                <w:sz w:val="24"/>
                <w:szCs w:val="24"/>
              </w:rPr>
              <w:t xml:space="preserve">adikāla </w:t>
            </w:r>
            <w:proofErr w:type="spellStart"/>
            <w:r w:rsidR="0021037C" w:rsidRPr="009A55BC">
              <w:rPr>
                <w:rFonts w:ascii="Times New Roman" w:hAnsi="Times New Roman"/>
                <w:sz w:val="24"/>
                <w:szCs w:val="24"/>
              </w:rPr>
              <w:t>mastektomija</w:t>
            </w:r>
            <w:proofErr w:type="spellEnd"/>
            <w:r w:rsidR="0021037C" w:rsidRPr="009A55BC">
              <w:rPr>
                <w:rFonts w:ascii="Times New Roman" w:hAnsi="Times New Roman"/>
                <w:sz w:val="24"/>
                <w:szCs w:val="24"/>
              </w:rPr>
              <w:t xml:space="preserve">) </w:t>
            </w:r>
            <w:r w:rsidR="00C853F4" w:rsidRPr="009A55BC">
              <w:rPr>
                <w:rFonts w:ascii="Times New Roman" w:hAnsi="Times New Roman"/>
                <w:sz w:val="24"/>
                <w:szCs w:val="24"/>
              </w:rPr>
              <w:t>sk</w:t>
            </w:r>
            <w:r w:rsidR="0021037C" w:rsidRPr="009A55BC">
              <w:rPr>
                <w:rFonts w:ascii="Times New Roman" w:hAnsi="Times New Roman"/>
                <w:sz w:val="24"/>
                <w:szCs w:val="24"/>
              </w:rPr>
              <w:t>a</w:t>
            </w:r>
            <w:r w:rsidR="00C853F4" w:rsidRPr="009A55BC">
              <w:rPr>
                <w:rFonts w:ascii="Times New Roman" w:hAnsi="Times New Roman"/>
                <w:sz w:val="24"/>
                <w:szCs w:val="24"/>
              </w:rPr>
              <w:t>its</w:t>
            </w:r>
            <w:r w:rsidR="0021037C" w:rsidRPr="009A55BC">
              <w:rPr>
                <w:rFonts w:ascii="Times New Roman" w:hAnsi="Times New Roman"/>
                <w:sz w:val="24"/>
                <w:szCs w:val="24"/>
              </w:rPr>
              <w:t>, pacientiem ar diagnozi C50 agrīnā vēža stadijā (1.-2. stadija)</w:t>
            </w:r>
            <w:r w:rsidRPr="009A55BC">
              <w:rPr>
                <w:rFonts w:ascii="Times New Roman" w:hAnsi="Times New Roman"/>
                <w:sz w:val="24"/>
                <w:szCs w:val="24"/>
                <w:vertAlign w:val="superscript"/>
              </w:rPr>
              <w:t>1</w:t>
            </w:r>
            <w:r w:rsidR="0021037C" w:rsidRPr="009A55BC">
              <w:rPr>
                <w:rFonts w:ascii="Times New Roman" w:hAnsi="Times New Roman"/>
                <w:sz w:val="24"/>
                <w:szCs w:val="24"/>
              </w:rPr>
              <w:t>/</w:t>
            </w:r>
          </w:p>
          <w:p w14:paraId="2C40D924" w14:textId="4FA6161D" w:rsidR="00C853F4" w:rsidRPr="009A55BC" w:rsidRDefault="00744028"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 xml:space="preserve">kopējais </w:t>
            </w:r>
            <w:r w:rsidR="00ED330E" w:rsidRPr="009A55BC">
              <w:rPr>
                <w:rFonts w:ascii="Times New Roman" w:hAnsi="Times New Roman"/>
                <w:sz w:val="24"/>
                <w:szCs w:val="24"/>
              </w:rPr>
              <w:t xml:space="preserve">plānveidā </w:t>
            </w:r>
            <w:r w:rsidRPr="009A55BC">
              <w:rPr>
                <w:rFonts w:ascii="Times New Roman" w:hAnsi="Times New Roman"/>
                <w:sz w:val="24"/>
                <w:szCs w:val="24"/>
              </w:rPr>
              <w:t>v</w:t>
            </w:r>
            <w:r w:rsidR="0021037C" w:rsidRPr="009A55BC">
              <w:rPr>
                <w:rFonts w:ascii="Times New Roman" w:hAnsi="Times New Roman"/>
                <w:sz w:val="24"/>
                <w:szCs w:val="24"/>
              </w:rPr>
              <w:t xml:space="preserve">eikto daļējo krūts </w:t>
            </w:r>
            <w:proofErr w:type="spellStart"/>
            <w:r w:rsidR="0021037C" w:rsidRPr="009A55BC">
              <w:rPr>
                <w:rFonts w:ascii="Times New Roman" w:hAnsi="Times New Roman"/>
                <w:sz w:val="24"/>
                <w:szCs w:val="24"/>
              </w:rPr>
              <w:t>ekcīziju</w:t>
            </w:r>
            <w:proofErr w:type="spellEnd"/>
            <w:r w:rsidR="0021037C" w:rsidRPr="009A55BC">
              <w:rPr>
                <w:rFonts w:ascii="Times New Roman" w:hAnsi="Times New Roman"/>
                <w:sz w:val="24"/>
                <w:szCs w:val="24"/>
              </w:rPr>
              <w:t xml:space="preserve"> </w:t>
            </w:r>
            <w:r w:rsidRPr="009A55BC">
              <w:rPr>
                <w:rFonts w:ascii="Times New Roman" w:hAnsi="Times New Roman"/>
                <w:sz w:val="24"/>
                <w:szCs w:val="24"/>
              </w:rPr>
              <w:t xml:space="preserve">(HAB kodi) un </w:t>
            </w:r>
            <w:proofErr w:type="spellStart"/>
            <w:r w:rsidR="0021037C" w:rsidRPr="009A55BC">
              <w:rPr>
                <w:rFonts w:ascii="Times New Roman" w:hAnsi="Times New Roman"/>
                <w:sz w:val="24"/>
                <w:szCs w:val="24"/>
              </w:rPr>
              <w:t>mastektomiju</w:t>
            </w:r>
            <w:proofErr w:type="spellEnd"/>
            <w:r w:rsidR="0021037C" w:rsidRPr="009A55BC">
              <w:rPr>
                <w:rFonts w:ascii="Times New Roman" w:hAnsi="Times New Roman"/>
                <w:sz w:val="24"/>
                <w:szCs w:val="24"/>
              </w:rPr>
              <w:t xml:space="preserve"> (HAC kodi) skaits, pacientiem ar diagnozi C50 agrīnā vēža stadijā (1.-2. stadija)</w:t>
            </w:r>
            <w:r w:rsidR="00561609" w:rsidRPr="009A55BC">
              <w:rPr>
                <w:rFonts w:ascii="Times New Roman" w:hAnsi="Times New Roman"/>
                <w:sz w:val="24"/>
                <w:szCs w:val="24"/>
              </w:rPr>
              <w:t xml:space="preserve"> </w:t>
            </w:r>
            <w:r w:rsidRPr="009A55BC">
              <w:rPr>
                <w:rFonts w:ascii="Times New Roman" w:hAnsi="Times New Roman"/>
                <w:sz w:val="24"/>
                <w:szCs w:val="24"/>
              </w:rPr>
              <w:t>izteikts %</w:t>
            </w:r>
            <w:r w:rsidR="00F365AC" w:rsidRPr="009A55BC">
              <w:rPr>
                <w:rFonts w:ascii="Times New Roman" w:hAnsi="Times New Roman"/>
                <w:sz w:val="24"/>
                <w:szCs w:val="24"/>
                <w:vertAlign w:val="superscript"/>
              </w:rPr>
              <w:t>2</w:t>
            </w:r>
          </w:p>
          <w:p w14:paraId="4ED6FA5E" w14:textId="3E2A6915" w:rsidR="00C853F4" w:rsidRPr="009A55BC" w:rsidRDefault="00ED330E"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D</w:t>
            </w:r>
            <w:r w:rsidR="00341369" w:rsidRPr="009A55BC">
              <w:rPr>
                <w:rFonts w:ascii="Times New Roman" w:hAnsi="Times New Roman"/>
                <w:sz w:val="24"/>
                <w:szCs w:val="24"/>
              </w:rPr>
              <w:t>atus par pacienta vēža stadiju iegūst no Dienesta veselības aprūpes pakalpojumu apmaksas norēķinu sistēmas “Vadības informācijas sistēma”   datubāzes pacientu grupu veidā</w:t>
            </w:r>
            <w:r w:rsidR="00815ECC" w:rsidRPr="009A55BC">
              <w:rPr>
                <w:rFonts w:ascii="Times New Roman" w:hAnsi="Times New Roman"/>
                <w:sz w:val="24"/>
                <w:szCs w:val="24"/>
              </w:rPr>
              <w:t>.</w:t>
            </w:r>
          </w:p>
          <w:p w14:paraId="284FBC25" w14:textId="32A1B55E" w:rsidR="00C853F4" w:rsidRPr="009A55BC" w:rsidRDefault="00F365AC" w:rsidP="009A55BC">
            <w:pPr>
              <w:pStyle w:val="ListParagraph"/>
              <w:spacing w:line="240" w:lineRule="auto"/>
              <w:ind w:left="0"/>
              <w:jc w:val="both"/>
              <w:rPr>
                <w:rFonts w:ascii="Times New Roman" w:hAnsi="Times New Roman"/>
                <w:sz w:val="24"/>
                <w:szCs w:val="24"/>
              </w:rPr>
            </w:pPr>
            <w:r w:rsidRPr="009A55BC">
              <w:rPr>
                <w:rFonts w:ascii="Times New Roman" w:eastAsia="Times New Roman" w:hAnsi="Times New Roman"/>
                <w:color w:val="000000"/>
                <w:sz w:val="24"/>
                <w:szCs w:val="24"/>
                <w:vertAlign w:val="superscript"/>
                <w:lang w:eastAsia="lv-LV"/>
              </w:rPr>
              <w:t>2</w:t>
            </w:r>
            <w:r w:rsidRPr="009A55BC">
              <w:rPr>
                <w:rFonts w:ascii="Times New Roman" w:eastAsia="Times New Roman" w:hAnsi="Times New Roman"/>
                <w:color w:val="000000"/>
                <w:sz w:val="24"/>
                <w:szCs w:val="24"/>
                <w:lang w:eastAsia="lv-LV"/>
              </w:rPr>
              <w:t xml:space="preserve"> </w:t>
            </w:r>
            <w:r w:rsidR="00607814" w:rsidRPr="009A55BC">
              <w:rPr>
                <w:rFonts w:ascii="Times New Roman" w:eastAsia="Times New Roman" w:hAnsi="Times New Roman"/>
                <w:color w:val="000000"/>
                <w:sz w:val="24"/>
                <w:szCs w:val="24"/>
                <w:lang w:eastAsia="lv-LV"/>
              </w:rPr>
              <w:t xml:space="preserve">Rezultātā tiek iegūts </w:t>
            </w:r>
            <w:r w:rsidR="00607814" w:rsidRPr="009A55BC">
              <w:rPr>
                <w:rFonts w:ascii="Times New Roman" w:hAnsi="Times New Roman"/>
                <w:sz w:val="24"/>
                <w:szCs w:val="24"/>
              </w:rPr>
              <w:t xml:space="preserve">manipulāciju procentuālais īpatsvars, kurš pēc </w:t>
            </w:r>
            <w:r w:rsidR="00A451DC" w:rsidRPr="009A55BC">
              <w:rPr>
                <w:rFonts w:ascii="Times New Roman" w:hAnsi="Times New Roman"/>
                <w:sz w:val="24"/>
                <w:szCs w:val="24"/>
              </w:rPr>
              <w:t>5</w:t>
            </w:r>
            <w:r w:rsidR="00607814" w:rsidRPr="009A55BC">
              <w:rPr>
                <w:rFonts w:ascii="Times New Roman" w:hAnsi="Times New Roman"/>
                <w:sz w:val="24"/>
                <w:szCs w:val="24"/>
              </w:rPr>
              <w:t>.</w:t>
            </w:r>
            <w:r w:rsidR="00157DD5" w:rsidRPr="009A55BC">
              <w:rPr>
                <w:rFonts w:ascii="Times New Roman" w:hAnsi="Times New Roman"/>
                <w:sz w:val="24"/>
                <w:szCs w:val="24"/>
              </w:rPr>
              <w:t>1</w:t>
            </w:r>
            <w:r w:rsidR="00DA47D0" w:rsidRPr="009A55BC">
              <w:rPr>
                <w:rFonts w:ascii="Times New Roman" w:hAnsi="Times New Roman"/>
                <w:sz w:val="24"/>
                <w:szCs w:val="24"/>
              </w:rPr>
              <w:t xml:space="preserve">. punkta </w:t>
            </w:r>
            <w:r w:rsidR="00607814" w:rsidRPr="009A55BC">
              <w:rPr>
                <w:rFonts w:ascii="Times New Roman" w:hAnsi="Times New Roman"/>
                <w:sz w:val="24"/>
                <w:szCs w:val="24"/>
              </w:rPr>
              <w:t>mērķa rādītā</w:t>
            </w:r>
            <w:r w:rsidR="00DA47D0" w:rsidRPr="009A55BC">
              <w:rPr>
                <w:rFonts w:ascii="Times New Roman" w:hAnsi="Times New Roman"/>
                <w:sz w:val="24"/>
                <w:szCs w:val="24"/>
              </w:rPr>
              <w:t>ja ir</w:t>
            </w:r>
            <w:r w:rsidR="00607814" w:rsidRPr="009A55BC">
              <w:rPr>
                <w:rFonts w:ascii="Times New Roman" w:hAnsi="Times New Roman"/>
                <w:sz w:val="24"/>
                <w:szCs w:val="24"/>
              </w:rPr>
              <w:t xml:space="preserve"> pieņemam</w:t>
            </w:r>
            <w:r w:rsidR="00DA47D0" w:rsidRPr="009A55BC">
              <w:rPr>
                <w:rFonts w:ascii="Times New Roman" w:hAnsi="Times New Roman"/>
                <w:sz w:val="24"/>
                <w:szCs w:val="24"/>
              </w:rPr>
              <w:t>s</w:t>
            </w:r>
            <w:r w:rsidR="00607814" w:rsidRPr="009A55BC">
              <w:rPr>
                <w:rFonts w:ascii="Times New Roman" w:hAnsi="Times New Roman"/>
                <w:sz w:val="24"/>
                <w:szCs w:val="24"/>
              </w:rPr>
              <w:t>, uzraugām</w:t>
            </w:r>
            <w:r w:rsidR="00DA47D0" w:rsidRPr="009A55BC">
              <w:rPr>
                <w:rFonts w:ascii="Times New Roman" w:hAnsi="Times New Roman"/>
                <w:sz w:val="24"/>
                <w:szCs w:val="24"/>
              </w:rPr>
              <w:t>s</w:t>
            </w:r>
            <w:r w:rsidR="00607814" w:rsidRPr="009A55BC">
              <w:rPr>
                <w:rFonts w:ascii="Times New Roman" w:hAnsi="Times New Roman"/>
                <w:sz w:val="24"/>
                <w:szCs w:val="24"/>
              </w:rPr>
              <w:t xml:space="preserve"> vai nepieņemam</w:t>
            </w:r>
            <w:r w:rsidR="00DA47D0" w:rsidRPr="009A55BC">
              <w:rPr>
                <w:rFonts w:ascii="Times New Roman" w:hAnsi="Times New Roman"/>
                <w:sz w:val="24"/>
                <w:szCs w:val="24"/>
              </w:rPr>
              <w:t>s</w:t>
            </w:r>
            <w:r w:rsidR="005057FE" w:rsidRPr="009A55BC">
              <w:rPr>
                <w:rFonts w:ascii="Times New Roman" w:hAnsi="Times New Roman"/>
                <w:sz w:val="24"/>
                <w:szCs w:val="24"/>
              </w:rPr>
              <w:t>.</w:t>
            </w:r>
          </w:p>
        </w:tc>
      </w:tr>
      <w:tr w:rsidR="00A56812" w:rsidRPr="009A55BC" w14:paraId="694DAC2F" w14:textId="77777777" w:rsidTr="009A55BC">
        <w:trPr>
          <w:cantSplit/>
        </w:trPr>
        <w:tc>
          <w:tcPr>
            <w:tcW w:w="1287" w:type="dxa"/>
          </w:tcPr>
          <w:p w14:paraId="205D8772" w14:textId="61856D47" w:rsidR="00A56812" w:rsidRPr="009A55BC" w:rsidRDefault="00CF2F9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A56812" w:rsidRPr="009A55BC">
              <w:rPr>
                <w:rFonts w:ascii="Times New Roman" w:hAnsi="Times New Roman"/>
                <w:sz w:val="24"/>
                <w:szCs w:val="24"/>
              </w:rPr>
              <w:t>2.</w:t>
            </w:r>
          </w:p>
        </w:tc>
        <w:tc>
          <w:tcPr>
            <w:tcW w:w="2824" w:type="dxa"/>
          </w:tcPr>
          <w:p w14:paraId="78B74350" w14:textId="72C3026C"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Ārstniecības iestādē veikto stacionāro plānveida un neatliekamo onkoloģisko operāciju, kuras veic ārstniecības personas, kuras  izpilda </w:t>
            </w:r>
            <w:r w:rsidR="005D7B31" w:rsidRPr="009A55BC">
              <w:rPr>
                <w:rFonts w:ascii="Times New Roman" w:hAnsi="Times New Roman"/>
                <w:sz w:val="24"/>
                <w:szCs w:val="24"/>
              </w:rPr>
              <w:t>1.pielikumā</w:t>
            </w:r>
            <w:r w:rsidRPr="009A55BC">
              <w:rPr>
                <w:rFonts w:ascii="Times New Roman" w:hAnsi="Times New Roman"/>
                <w:sz w:val="24"/>
                <w:szCs w:val="24"/>
              </w:rPr>
              <w:t xml:space="preserve"> noteiktos apjomus, skaita procentuālais īpatsvars no visām ārstniecības iestādē veiktajām stacionārajām plānveida un neatliekamām onkoloģiskām operācijām dalījumā pa diagnozē</w:t>
            </w:r>
            <w:r w:rsidR="007370CE" w:rsidRPr="009A55BC">
              <w:rPr>
                <w:rFonts w:ascii="Times New Roman" w:hAnsi="Times New Roman"/>
                <w:sz w:val="24"/>
                <w:szCs w:val="24"/>
              </w:rPr>
              <w:t>m</w:t>
            </w:r>
            <w:r w:rsidR="00186DE3" w:rsidRPr="009A55BC">
              <w:rPr>
                <w:rFonts w:ascii="Times New Roman" w:hAnsi="Times New Roman"/>
                <w:sz w:val="24"/>
                <w:szCs w:val="24"/>
              </w:rPr>
              <w:t>, atbilstoši 1.pielikumam</w:t>
            </w:r>
            <w:r w:rsidR="00903ACE" w:rsidRPr="009A55BC">
              <w:rPr>
                <w:rFonts w:ascii="Times New Roman" w:hAnsi="Times New Roman"/>
                <w:sz w:val="24"/>
                <w:szCs w:val="24"/>
              </w:rPr>
              <w:t>.</w:t>
            </w:r>
            <w:r w:rsidR="00FC15EE" w:rsidRPr="009A55BC">
              <w:rPr>
                <w:rFonts w:ascii="Times New Roman" w:hAnsi="Times New Roman"/>
                <w:sz w:val="24"/>
                <w:szCs w:val="24"/>
              </w:rPr>
              <w:t xml:space="preserve">  </w:t>
            </w:r>
          </w:p>
          <w:p w14:paraId="3F21EE6A" w14:textId="77777777" w:rsidR="00A56812" w:rsidRPr="009A55BC" w:rsidRDefault="00A56812" w:rsidP="009A55BC">
            <w:pPr>
              <w:pStyle w:val="ListParagraph"/>
              <w:spacing w:line="240" w:lineRule="auto"/>
              <w:ind w:left="0"/>
              <w:rPr>
                <w:rFonts w:ascii="Times New Roman" w:hAnsi="Times New Roman"/>
                <w:sz w:val="24"/>
                <w:szCs w:val="24"/>
              </w:rPr>
            </w:pPr>
          </w:p>
        </w:tc>
        <w:tc>
          <w:tcPr>
            <w:tcW w:w="5812" w:type="dxa"/>
          </w:tcPr>
          <w:p w14:paraId="299E4B33" w14:textId="571B3005"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both"/>
              <w:rPr>
                <w:rFonts w:ascii="Times New Roman" w:hAnsi="Times New Roman"/>
                <w:sz w:val="24"/>
                <w:szCs w:val="24"/>
              </w:rPr>
            </w:pPr>
            <w:r w:rsidRPr="009A55BC">
              <w:rPr>
                <w:rFonts w:ascii="Times New Roman" w:hAnsi="Times New Roman"/>
                <w:sz w:val="24"/>
                <w:szCs w:val="24"/>
              </w:rPr>
              <w:t>ārstniecības personu</w:t>
            </w:r>
            <w:r w:rsidRPr="009A55BC">
              <w:rPr>
                <w:rFonts w:ascii="Times New Roman" w:hAnsi="Times New Roman"/>
                <w:sz w:val="24"/>
                <w:szCs w:val="24"/>
                <w:vertAlign w:val="superscript"/>
              </w:rPr>
              <w:t>1</w:t>
            </w:r>
            <w:r w:rsidRPr="009A55BC">
              <w:rPr>
                <w:rFonts w:ascii="Times New Roman" w:hAnsi="Times New Roman"/>
                <w:sz w:val="24"/>
                <w:szCs w:val="24"/>
              </w:rPr>
              <w:t xml:space="preserve">, kuras izpilda </w:t>
            </w:r>
            <w:r w:rsidR="00D40E14" w:rsidRPr="009A55BC">
              <w:rPr>
                <w:rFonts w:ascii="Times New Roman" w:hAnsi="Times New Roman"/>
                <w:sz w:val="24"/>
                <w:szCs w:val="24"/>
              </w:rPr>
              <w:t>1.pielikumā</w:t>
            </w:r>
            <w:r w:rsidRPr="009A55BC">
              <w:rPr>
                <w:rFonts w:ascii="Times New Roman" w:hAnsi="Times New Roman"/>
                <w:sz w:val="24"/>
                <w:szCs w:val="24"/>
              </w:rPr>
              <w:t xml:space="preserve"> noteiktos apjomus (Ārstniecības iestādes vai Dienesta informācijas sistēmas dati), veikto attiecīgās diagnozes vai diagnožu grupas plānveida un neatliekami stacionārā veikto onkoloģisko operāciju skaits</w:t>
            </w:r>
            <w:r w:rsidRPr="009A55BC">
              <w:rPr>
                <w:rFonts w:ascii="Times New Roman" w:hAnsi="Times New Roman"/>
                <w:sz w:val="24"/>
                <w:szCs w:val="24"/>
                <w:vertAlign w:val="superscript"/>
              </w:rPr>
              <w:t>2</w:t>
            </w:r>
            <w:r w:rsidRPr="009A55BC">
              <w:rPr>
                <w:rFonts w:ascii="Times New Roman" w:hAnsi="Times New Roman"/>
                <w:sz w:val="24"/>
                <w:szCs w:val="24"/>
              </w:rPr>
              <w:t>/</w:t>
            </w:r>
          </w:p>
          <w:p w14:paraId="38B7B62D" w14:textId="1DC20B20"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kopējais attiecīgās diagnozes veikto plānveida un neatliekamo stacionāro</w:t>
            </w:r>
            <w:r w:rsidR="00903ACE" w:rsidRPr="009A55BC">
              <w:rPr>
                <w:rFonts w:ascii="Times New Roman" w:hAnsi="Times New Roman"/>
                <w:sz w:val="24"/>
                <w:szCs w:val="24"/>
              </w:rPr>
              <w:t xml:space="preserve"> </w:t>
            </w:r>
            <w:r w:rsidRPr="009A55BC">
              <w:rPr>
                <w:rFonts w:ascii="Times New Roman" w:hAnsi="Times New Roman"/>
                <w:sz w:val="24"/>
                <w:szCs w:val="24"/>
              </w:rPr>
              <w:t>onkoloģisko operāciju skaits</w:t>
            </w:r>
          </w:p>
          <w:p w14:paraId="7AD49D3B" w14:textId="77777777"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izteikts%</w:t>
            </w:r>
            <w:r w:rsidRPr="009A55BC">
              <w:rPr>
                <w:rFonts w:ascii="Times New Roman" w:hAnsi="Times New Roman"/>
                <w:sz w:val="24"/>
                <w:szCs w:val="24"/>
                <w:vertAlign w:val="superscript"/>
              </w:rPr>
              <w:t>3</w:t>
            </w:r>
          </w:p>
          <w:p w14:paraId="3D914B0C" w14:textId="2E908BEF"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Kā ārstniecības persona tiek skatīts pirmais un otrais norādītās manipulācijas veicējs, ja šādu informāciju ārstniecības iestāde elektroniski </w:t>
            </w:r>
            <w:proofErr w:type="spellStart"/>
            <w:r w:rsidRPr="009A55BC">
              <w:rPr>
                <w:rFonts w:ascii="Times New Roman" w:hAnsi="Times New Roman"/>
                <w:sz w:val="24"/>
                <w:szCs w:val="24"/>
              </w:rPr>
              <w:t>iesūta</w:t>
            </w:r>
            <w:proofErr w:type="spellEnd"/>
            <w:r w:rsidRPr="009A55BC">
              <w:rPr>
                <w:rFonts w:ascii="Times New Roman" w:hAnsi="Times New Roman"/>
                <w:sz w:val="24"/>
                <w:szCs w:val="24"/>
              </w:rPr>
              <w:t xml:space="preserve"> Dienestam uz elektroniskā pasta adresi </w:t>
            </w:r>
            <w:r w:rsidR="00E31793" w:rsidRPr="009A55BC">
              <w:rPr>
                <w:rFonts w:ascii="Times New Roman" w:hAnsi="Times New Roman"/>
                <w:sz w:val="24"/>
                <w:szCs w:val="24"/>
              </w:rPr>
              <w:t>nvd</w:t>
            </w:r>
            <w:r w:rsidRPr="009A55BC">
              <w:rPr>
                <w:rFonts w:ascii="Times New Roman" w:hAnsi="Times New Roman"/>
                <w:sz w:val="24"/>
                <w:szCs w:val="24"/>
              </w:rPr>
              <w:t xml:space="preserve">@vmnvd.gov.lv par </w:t>
            </w:r>
            <w:r w:rsidR="00570530" w:rsidRPr="009A55BC">
              <w:rPr>
                <w:rFonts w:ascii="Times New Roman" w:hAnsi="Times New Roman"/>
                <w:sz w:val="24"/>
                <w:szCs w:val="24"/>
              </w:rPr>
              <w:t xml:space="preserve">iepriekšējo kalendāro </w:t>
            </w:r>
            <w:r w:rsidRPr="009A55BC">
              <w:rPr>
                <w:rFonts w:ascii="Times New Roman" w:hAnsi="Times New Roman"/>
                <w:sz w:val="24"/>
                <w:szCs w:val="24"/>
              </w:rPr>
              <w:t>gadu līdz nākamā gada 31.janvārim. Ja informācija netiek savlaicīgi iesūtīta, rādītāja rezultātu aprēķinos tiek izmantota Dienesta veselības aprūpes pakalpojumu apmaksas norēķinu sistēmas “Vadības informācijas sistēma”  pieejamā informācija par vienu personu – manipulācijas veicēju. Ja vismaz vienam no abiem pirmajiem manipulācijas veicējiem ir atbilstoša</w:t>
            </w:r>
            <w:r w:rsidR="005D7B31" w:rsidRPr="009A55BC">
              <w:rPr>
                <w:rFonts w:ascii="Times New Roman" w:hAnsi="Times New Roman"/>
                <w:sz w:val="24"/>
                <w:szCs w:val="24"/>
              </w:rPr>
              <w:t xml:space="preserve"> 1.pielikumā</w:t>
            </w:r>
            <w:r w:rsidRPr="009A55BC">
              <w:rPr>
                <w:rFonts w:ascii="Times New Roman" w:hAnsi="Times New Roman"/>
                <w:sz w:val="24"/>
                <w:szCs w:val="24"/>
              </w:rPr>
              <w:t xml:space="preserve"> minētajam apjomam diagnozē, hospitalizācija tiek skaitīta pie tām, kuras veicis ārsts ar atbilstošu pieredzi.</w:t>
            </w:r>
          </w:p>
          <w:p w14:paraId="09F8D6E4" w14:textId="4A2EB020"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Atbilstoši pielikumā minētajam NCSP manipulāciju sarakstam sadalījumā pa konkrētām diagnozēm. </w:t>
            </w:r>
          </w:p>
          <w:p w14:paraId="13C435B9" w14:textId="2155B3DC"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 xml:space="preserve"> Rezultātā tiek iegūts manipulāciju procentuālais īpatsvars, kurš pēc </w:t>
            </w:r>
            <w:r w:rsidR="00A451DC"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2</w:t>
            </w:r>
            <w:r w:rsidRPr="009A55BC">
              <w:rPr>
                <w:rFonts w:ascii="Times New Roman" w:hAnsi="Times New Roman"/>
                <w:sz w:val="24"/>
                <w:szCs w:val="24"/>
              </w:rPr>
              <w:t>. punkta mērķa rādītāja ir pieņemams, uzraugāms vai nepieņemams.</w:t>
            </w:r>
          </w:p>
        </w:tc>
      </w:tr>
      <w:tr w:rsidR="00A56812" w:rsidRPr="009A55BC" w14:paraId="2497AA9A" w14:textId="77777777" w:rsidTr="009A55BC">
        <w:trPr>
          <w:cantSplit/>
        </w:trPr>
        <w:tc>
          <w:tcPr>
            <w:tcW w:w="1287" w:type="dxa"/>
          </w:tcPr>
          <w:p w14:paraId="6BCDB5B0" w14:textId="1D781963"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5D7B31" w:rsidRPr="009A55BC">
              <w:rPr>
                <w:rFonts w:ascii="Times New Roman" w:hAnsi="Times New Roman"/>
                <w:sz w:val="24"/>
                <w:szCs w:val="24"/>
              </w:rPr>
              <w:t>3.</w:t>
            </w:r>
          </w:p>
        </w:tc>
        <w:tc>
          <w:tcPr>
            <w:tcW w:w="2824" w:type="dxa"/>
          </w:tcPr>
          <w:p w14:paraId="4DBFFFDF" w14:textId="24CE3ED0"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Ķirurģiski ārstēto onkoloģisko plānveida pacientu procentuālais īpatsvars, kuru  stacionārā uzskaites dokumentā norādīta komplikāciju manipulācija (pēc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klasifikācijas sistēmas</w:t>
            </w:r>
            <w:r w:rsidRPr="009A55BC">
              <w:rPr>
                <w:rFonts w:ascii="Times New Roman" w:hAnsi="Times New Roman"/>
                <w:sz w:val="24"/>
                <w:szCs w:val="24"/>
                <w:vertAlign w:val="superscript"/>
              </w:rPr>
              <w:t>3</w:t>
            </w:r>
            <w:r w:rsidRPr="009A55BC">
              <w:rPr>
                <w:rFonts w:ascii="Times New Roman" w:hAnsi="Times New Roman"/>
                <w:sz w:val="24"/>
                <w:szCs w:val="24"/>
              </w:rPr>
              <w:t>)</w:t>
            </w:r>
          </w:p>
        </w:tc>
        <w:tc>
          <w:tcPr>
            <w:tcW w:w="5812" w:type="dxa"/>
          </w:tcPr>
          <w:p w14:paraId="2B69512B" w14:textId="38A734F0" w:rsidR="00A56812" w:rsidRPr="009A55BC" w:rsidRDefault="00E31793" w:rsidP="009A55BC">
            <w:pPr>
              <w:pStyle w:val="ListParagraph"/>
              <w:pBdr>
                <w:top w:val="single" w:sz="4" w:space="1" w:color="auto"/>
                <w:left w:val="single" w:sz="4" w:space="4" w:color="auto"/>
                <w:bottom w:val="single" w:sz="4" w:space="1" w:color="auto"/>
                <w:right w:val="single" w:sz="4" w:space="4" w:color="auto"/>
              </w:pBdr>
              <w:spacing w:line="240" w:lineRule="auto"/>
              <w:ind w:left="0"/>
              <w:jc w:val="both"/>
              <w:rPr>
                <w:rFonts w:ascii="Times New Roman" w:hAnsi="Times New Roman"/>
                <w:sz w:val="24"/>
                <w:szCs w:val="24"/>
              </w:rPr>
            </w:pPr>
            <w:r w:rsidRPr="009A55BC">
              <w:rPr>
                <w:rFonts w:ascii="Times New Roman" w:hAnsi="Times New Roman"/>
                <w:sz w:val="24"/>
                <w:szCs w:val="24"/>
              </w:rPr>
              <w:t>Plānveidā hospitalizēto ķirurģiski ārstēto pacientu</w:t>
            </w:r>
            <w:r w:rsidR="00A85008" w:rsidRPr="009A55BC">
              <w:rPr>
                <w:rFonts w:ascii="Times New Roman" w:hAnsi="Times New Roman"/>
                <w:sz w:val="24"/>
                <w:szCs w:val="24"/>
                <w:vertAlign w:val="superscript"/>
              </w:rPr>
              <w:t>1</w:t>
            </w:r>
            <w:r w:rsidRPr="009A55BC">
              <w:rPr>
                <w:rFonts w:ascii="Times New Roman" w:hAnsi="Times New Roman"/>
                <w:sz w:val="24"/>
                <w:szCs w:val="24"/>
              </w:rPr>
              <w:t xml:space="preserve"> UD skaits, kuros norādīta komplikāciju manipulācija / kopējais Plānveidā hospitalizēto ķirurģiski ārstēto pacientu UD skaits *100</w:t>
            </w:r>
            <w:r w:rsidR="00A56812" w:rsidRPr="009A55BC">
              <w:rPr>
                <w:rFonts w:ascii="Times New Roman" w:hAnsi="Times New Roman"/>
                <w:sz w:val="24"/>
                <w:szCs w:val="24"/>
                <w:vertAlign w:val="superscript"/>
              </w:rPr>
              <w:t>2</w:t>
            </w:r>
          </w:p>
          <w:p w14:paraId="104DE03F" w14:textId="11DD94F1"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Pamata izrakstīšanās diagnoze pēc </w:t>
            </w:r>
            <w:r w:rsidR="002F2F14" w:rsidRPr="009A55BC">
              <w:rPr>
                <w:rFonts w:ascii="Times New Roman" w:hAnsi="Times New Roman"/>
                <w:sz w:val="24"/>
                <w:szCs w:val="24"/>
              </w:rPr>
              <w:t xml:space="preserve"> SSK-10: C00–C97, D00–D09, D37–D48 un D61</w:t>
            </w:r>
          </w:p>
          <w:p w14:paraId="0FC212A9" w14:textId="160EB56C"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w:t>
            </w:r>
            <w:r w:rsidRPr="009A55BC">
              <w:rPr>
                <w:rFonts w:ascii="Times New Roman" w:eastAsia="Times New Roman" w:hAnsi="Times New Roman"/>
                <w:sz w:val="24"/>
                <w:szCs w:val="24"/>
                <w:lang w:eastAsia="lv-LV"/>
              </w:rPr>
              <w:t xml:space="preserve">Rezultātā tiek iegūts </w:t>
            </w:r>
            <w:r w:rsidRPr="009A55BC">
              <w:rPr>
                <w:rFonts w:ascii="Times New Roman" w:hAnsi="Times New Roman"/>
                <w:sz w:val="24"/>
                <w:szCs w:val="24"/>
              </w:rPr>
              <w:t xml:space="preserve">pacientu procentuālais īpatsvars, kurš pēc </w:t>
            </w:r>
            <w:r w:rsidR="00DD27CE"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3</w:t>
            </w:r>
            <w:r w:rsidRPr="009A55BC">
              <w:rPr>
                <w:rFonts w:ascii="Times New Roman" w:hAnsi="Times New Roman"/>
                <w:sz w:val="24"/>
                <w:szCs w:val="24"/>
              </w:rPr>
              <w:t>. punkta mērķa rādītāja vērtējams kā pieņemams, uzraugāms vai nepieņemams.</w:t>
            </w:r>
          </w:p>
          <w:p w14:paraId="4203043C" w14:textId="389C9F2D"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 xml:space="preserve"> Pēc </w:t>
            </w:r>
            <w:proofErr w:type="spellStart"/>
            <w:r w:rsidRPr="009A55BC">
              <w:rPr>
                <w:rFonts w:ascii="Times New Roman" w:hAnsi="Times New Roman"/>
                <w:sz w:val="24"/>
                <w:szCs w:val="24"/>
              </w:rPr>
              <w:t>Clavien-Dindo</w:t>
            </w:r>
            <w:proofErr w:type="spellEnd"/>
            <w:r w:rsidRPr="009A55BC">
              <w:rPr>
                <w:rFonts w:ascii="Times New Roman" w:hAnsi="Times New Roman"/>
                <w:sz w:val="24"/>
                <w:szCs w:val="24"/>
              </w:rPr>
              <w:t xml:space="preserve"> klasifikatora* ķirurģisko komplikāciju smaguma klasificēšanai   pielietojamās          manipulācijas:</w:t>
            </w:r>
          </w:p>
          <w:p w14:paraId="4723DD9E"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60175</w:t>
            </w:r>
            <w:r w:rsidRPr="009A55BC">
              <w:rPr>
                <w:rFonts w:ascii="Times New Roman" w:hAnsi="Times New Roman"/>
                <w:sz w:val="24"/>
                <w:szCs w:val="24"/>
              </w:rPr>
              <w:tab/>
              <w:t xml:space="preserve">I  Jebkuri sarežģījumi </w:t>
            </w:r>
            <w:proofErr w:type="spellStart"/>
            <w:r w:rsidRPr="009A55BC">
              <w:rPr>
                <w:rFonts w:ascii="Times New Roman" w:hAnsi="Times New Roman"/>
                <w:sz w:val="24"/>
                <w:szCs w:val="24"/>
              </w:rPr>
              <w:t>pēcoperācijas</w:t>
            </w:r>
            <w:proofErr w:type="spellEnd"/>
            <w:r w:rsidRPr="009A55BC">
              <w:rPr>
                <w:rFonts w:ascii="Times New Roman" w:hAnsi="Times New Roman"/>
                <w:sz w:val="24"/>
                <w:szCs w:val="24"/>
              </w:rPr>
              <w:t xml:space="preserve"> periodā, kam nav nepieciešama specifiska ārstēšana (medikamentoza, </w:t>
            </w:r>
            <w:proofErr w:type="spellStart"/>
            <w:r w:rsidRPr="009A55BC">
              <w:rPr>
                <w:rFonts w:ascii="Times New Roman" w:hAnsi="Times New Roman"/>
                <w:sz w:val="24"/>
                <w:szCs w:val="24"/>
              </w:rPr>
              <w:t>radioloģiska</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endoskopiska</w:t>
            </w:r>
            <w:proofErr w:type="spellEnd"/>
            <w:r w:rsidRPr="009A55BC">
              <w:rPr>
                <w:rFonts w:ascii="Times New Roman" w:hAnsi="Times New Roman"/>
                <w:sz w:val="24"/>
                <w:szCs w:val="24"/>
              </w:rPr>
              <w:t xml:space="preserve"> iejaukšanās), izņemot </w:t>
            </w:r>
            <w:proofErr w:type="spellStart"/>
            <w:r w:rsidRPr="009A55BC">
              <w:rPr>
                <w:rFonts w:ascii="Times New Roman" w:hAnsi="Times New Roman"/>
                <w:sz w:val="24"/>
                <w:szCs w:val="24"/>
              </w:rPr>
              <w:t>pamatterapiju</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antiemētiķi</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antipirētiķi</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analgētiķi</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diurētiķi</w:t>
            </w:r>
            <w:proofErr w:type="spellEnd"/>
            <w:r w:rsidRPr="009A55BC">
              <w:rPr>
                <w:rFonts w:ascii="Times New Roman" w:hAnsi="Times New Roman"/>
                <w:sz w:val="24"/>
                <w:szCs w:val="24"/>
              </w:rPr>
              <w:t>, elektrolīti un fizioterapija). Šajā kategorijā ietilpst arī brūču infekcijas, kam nepieciešama tikai apstrāde pārsiešanu ietvaros (konservatīva terapija).</w:t>
            </w:r>
            <w:r w:rsidRPr="009A55BC">
              <w:rPr>
                <w:rFonts w:ascii="Times New Roman" w:hAnsi="Times New Roman"/>
                <w:sz w:val="24"/>
                <w:szCs w:val="24"/>
              </w:rPr>
              <w:tab/>
            </w:r>
          </w:p>
          <w:p w14:paraId="3F3C4260"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60176</w:t>
            </w:r>
            <w:r w:rsidRPr="009A55BC">
              <w:rPr>
                <w:rFonts w:ascii="Times New Roman" w:hAnsi="Times New Roman"/>
                <w:sz w:val="24"/>
                <w:szCs w:val="24"/>
              </w:rPr>
              <w:tab/>
              <w:t xml:space="preserve">II Komplikācijas, kam nepieciešama papildus specifiska medikamentoza ārstēšana paralēli </w:t>
            </w:r>
            <w:proofErr w:type="spellStart"/>
            <w:r w:rsidRPr="009A55BC">
              <w:rPr>
                <w:rFonts w:ascii="Times New Roman" w:hAnsi="Times New Roman"/>
                <w:sz w:val="24"/>
                <w:szCs w:val="24"/>
              </w:rPr>
              <w:t>pamatterapijai</w:t>
            </w:r>
            <w:proofErr w:type="spellEnd"/>
            <w:r w:rsidRPr="009A55BC">
              <w:rPr>
                <w:rFonts w:ascii="Times New Roman" w:hAnsi="Times New Roman"/>
                <w:sz w:val="24"/>
                <w:szCs w:val="24"/>
              </w:rPr>
              <w:t xml:space="preserve">. Iekļauta arī asins pārliešana un </w:t>
            </w:r>
            <w:proofErr w:type="spellStart"/>
            <w:r w:rsidRPr="009A55BC">
              <w:rPr>
                <w:rFonts w:ascii="Times New Roman" w:hAnsi="Times New Roman"/>
                <w:sz w:val="24"/>
                <w:szCs w:val="24"/>
              </w:rPr>
              <w:t>parenterālā</w:t>
            </w:r>
            <w:proofErr w:type="spellEnd"/>
            <w:r w:rsidRPr="009A55BC">
              <w:rPr>
                <w:rFonts w:ascii="Times New Roman" w:hAnsi="Times New Roman"/>
                <w:sz w:val="24"/>
                <w:szCs w:val="24"/>
              </w:rPr>
              <w:t xml:space="preserve"> barošana. </w:t>
            </w:r>
            <w:r w:rsidRPr="009A55BC">
              <w:rPr>
                <w:rFonts w:ascii="Times New Roman" w:hAnsi="Times New Roman"/>
                <w:sz w:val="24"/>
                <w:szCs w:val="24"/>
              </w:rPr>
              <w:tab/>
            </w:r>
          </w:p>
          <w:p w14:paraId="4CD82A44" w14:textId="3D5D8770"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sz w:val="24"/>
                <w:szCs w:val="24"/>
              </w:rPr>
              <w:t xml:space="preserve">III Komplikācijas, kuru ārstēšanai nepieciešama ķirurģiska, </w:t>
            </w:r>
            <w:proofErr w:type="spellStart"/>
            <w:r w:rsidRPr="009A55BC">
              <w:rPr>
                <w:rFonts w:ascii="Times New Roman" w:hAnsi="Times New Roman"/>
                <w:sz w:val="24"/>
                <w:szCs w:val="24"/>
              </w:rPr>
              <w:t>endoskopiska</w:t>
            </w:r>
            <w:proofErr w:type="spellEnd"/>
            <w:r w:rsidRPr="009A55BC">
              <w:rPr>
                <w:rFonts w:ascii="Times New Roman" w:hAnsi="Times New Roman"/>
                <w:sz w:val="24"/>
                <w:szCs w:val="24"/>
              </w:rPr>
              <w:t xml:space="preserve"> vai </w:t>
            </w:r>
            <w:proofErr w:type="spellStart"/>
            <w:r w:rsidRPr="009A55BC">
              <w:rPr>
                <w:rFonts w:ascii="Times New Roman" w:hAnsi="Times New Roman"/>
                <w:sz w:val="24"/>
                <w:szCs w:val="24"/>
              </w:rPr>
              <w:t>radioloģiska</w:t>
            </w:r>
            <w:proofErr w:type="spellEnd"/>
            <w:r w:rsidRPr="009A55BC">
              <w:rPr>
                <w:rFonts w:ascii="Times New Roman" w:hAnsi="Times New Roman"/>
                <w:sz w:val="24"/>
                <w:szCs w:val="24"/>
              </w:rPr>
              <w:t xml:space="preserve"> iejaukšanās:</w:t>
            </w:r>
          </w:p>
          <w:p w14:paraId="267D3910"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60177</w:t>
            </w:r>
            <w:r w:rsidRPr="009A55BC">
              <w:rPr>
                <w:rFonts w:ascii="Times New Roman" w:hAnsi="Times New Roman"/>
                <w:sz w:val="24"/>
                <w:szCs w:val="24"/>
              </w:rPr>
              <w:tab/>
            </w:r>
            <w:proofErr w:type="spellStart"/>
            <w:r w:rsidRPr="009A55BC">
              <w:rPr>
                <w:rFonts w:ascii="Times New Roman" w:hAnsi="Times New Roman"/>
                <w:sz w:val="24"/>
                <w:szCs w:val="24"/>
              </w:rPr>
              <w:t>IIIa</w:t>
            </w:r>
            <w:proofErr w:type="spellEnd"/>
            <w:r w:rsidRPr="009A55BC">
              <w:rPr>
                <w:rFonts w:ascii="Times New Roman" w:hAnsi="Times New Roman"/>
                <w:sz w:val="24"/>
                <w:szCs w:val="24"/>
              </w:rPr>
              <w:t xml:space="preserve"> bez vispārējās narkozes,</w:t>
            </w:r>
          </w:p>
          <w:p w14:paraId="2BF6364E" w14:textId="35FF8424"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60178</w:t>
            </w:r>
            <w:r w:rsidRPr="009A55BC">
              <w:rPr>
                <w:rFonts w:ascii="Times New Roman" w:hAnsi="Times New Roman"/>
                <w:sz w:val="24"/>
                <w:szCs w:val="24"/>
              </w:rPr>
              <w:tab/>
            </w:r>
            <w:proofErr w:type="spellStart"/>
            <w:r w:rsidRPr="009A55BC">
              <w:rPr>
                <w:rFonts w:ascii="Times New Roman" w:hAnsi="Times New Roman"/>
                <w:sz w:val="24"/>
                <w:szCs w:val="24"/>
              </w:rPr>
              <w:t>IIIb</w:t>
            </w:r>
            <w:proofErr w:type="spellEnd"/>
            <w:r w:rsidRPr="009A55BC">
              <w:rPr>
                <w:rFonts w:ascii="Times New Roman" w:hAnsi="Times New Roman"/>
                <w:sz w:val="24"/>
                <w:szCs w:val="24"/>
              </w:rPr>
              <w:t xml:space="preserve"> vispārējā narkozē.</w:t>
            </w:r>
          </w:p>
          <w:p w14:paraId="1F8E14EC" w14:textId="666C69CF"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sz w:val="24"/>
                <w:szCs w:val="24"/>
              </w:rPr>
              <w:t>IV Dzīvībai bīstamas komplikācijas, indicēta ārstēšanās intensīvās terapijas nodaļā:</w:t>
            </w:r>
            <w:r w:rsidRPr="009A55BC">
              <w:rPr>
                <w:rFonts w:ascii="Times New Roman" w:hAnsi="Times New Roman"/>
                <w:sz w:val="24"/>
                <w:szCs w:val="24"/>
              </w:rPr>
              <w:tab/>
            </w:r>
          </w:p>
          <w:p w14:paraId="28C55942" w14:textId="4D448E2E"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60179</w:t>
            </w:r>
            <w:r w:rsidRPr="009A55BC">
              <w:rPr>
                <w:rFonts w:ascii="Times New Roman" w:hAnsi="Times New Roman"/>
                <w:sz w:val="24"/>
                <w:szCs w:val="24"/>
              </w:rPr>
              <w:tab/>
            </w:r>
            <w:proofErr w:type="spellStart"/>
            <w:r w:rsidRPr="009A55BC">
              <w:rPr>
                <w:rFonts w:ascii="Times New Roman" w:hAnsi="Times New Roman"/>
                <w:sz w:val="24"/>
                <w:szCs w:val="24"/>
              </w:rPr>
              <w:t>IVa</w:t>
            </w:r>
            <w:proofErr w:type="spellEnd"/>
            <w:r w:rsidRPr="009A55BC">
              <w:rPr>
                <w:rFonts w:ascii="Times New Roman" w:hAnsi="Times New Roman"/>
                <w:sz w:val="24"/>
                <w:szCs w:val="24"/>
              </w:rPr>
              <w:t xml:space="preserve"> viena orgāna disfunkcija,</w:t>
            </w:r>
          </w:p>
          <w:p w14:paraId="35FE034E" w14:textId="08951F65"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60180</w:t>
            </w:r>
            <w:r w:rsidRPr="009A55BC">
              <w:rPr>
                <w:rFonts w:ascii="Times New Roman" w:hAnsi="Times New Roman"/>
                <w:sz w:val="24"/>
                <w:szCs w:val="24"/>
              </w:rPr>
              <w:tab/>
            </w:r>
            <w:proofErr w:type="spellStart"/>
            <w:r w:rsidRPr="009A55BC">
              <w:rPr>
                <w:rFonts w:ascii="Times New Roman" w:hAnsi="Times New Roman"/>
                <w:sz w:val="24"/>
                <w:szCs w:val="24"/>
              </w:rPr>
              <w:t>IVb</w:t>
            </w:r>
            <w:proofErr w:type="spellEnd"/>
            <w:r w:rsidRPr="009A55BC">
              <w:rPr>
                <w:rFonts w:ascii="Times New Roman" w:hAnsi="Times New Roman"/>
                <w:sz w:val="24"/>
                <w:szCs w:val="24"/>
              </w:rPr>
              <w:t xml:space="preserve"> vairāku orgānu disfunkcija.</w:t>
            </w:r>
          </w:p>
          <w:p w14:paraId="6CD1A85E" w14:textId="1E919566"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60174</w:t>
            </w:r>
            <w:r w:rsidRPr="009A55BC">
              <w:rPr>
                <w:rFonts w:ascii="Times New Roman" w:hAnsi="Times New Roman"/>
                <w:sz w:val="24"/>
                <w:szCs w:val="24"/>
              </w:rPr>
              <w:tab/>
            </w:r>
            <w:proofErr w:type="spellStart"/>
            <w:r w:rsidRPr="009A55BC">
              <w:rPr>
                <w:rFonts w:ascii="Times New Roman" w:hAnsi="Times New Roman"/>
                <w:sz w:val="24"/>
                <w:szCs w:val="24"/>
              </w:rPr>
              <w:t>Pēcoperācijas</w:t>
            </w:r>
            <w:proofErr w:type="spellEnd"/>
            <w:r w:rsidRPr="009A55BC">
              <w:rPr>
                <w:rFonts w:ascii="Times New Roman" w:hAnsi="Times New Roman"/>
                <w:sz w:val="24"/>
                <w:szCs w:val="24"/>
              </w:rPr>
              <w:t xml:space="preserve"> periods bez sarežģījumiem</w:t>
            </w:r>
          </w:p>
          <w:p w14:paraId="29BF2268" w14:textId="4235009B"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rPr>
              <w:t>*</w:t>
            </w:r>
            <w:r w:rsidRPr="009A55BC">
              <w:rPr>
                <w:rFonts w:ascii="Times New Roman" w:hAnsi="Times New Roman"/>
                <w:sz w:val="24"/>
                <w:szCs w:val="24"/>
              </w:rPr>
              <w:tab/>
              <w:t xml:space="preserve">Daniel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Nicolas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Demartines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and</w:t>
            </w:r>
            <w:proofErr w:type="spellEnd"/>
            <w:r w:rsidRPr="009A55BC">
              <w:rPr>
                <w:rFonts w:ascii="Times New Roman" w:hAnsi="Times New Roman"/>
                <w:sz w:val="24"/>
                <w:szCs w:val="24"/>
              </w:rPr>
              <w:t xml:space="preserve"> Pierre-</w:t>
            </w:r>
            <w:proofErr w:type="spellStart"/>
            <w:r w:rsidRPr="009A55BC">
              <w:rPr>
                <w:rFonts w:ascii="Times New Roman" w:hAnsi="Times New Roman"/>
                <w:sz w:val="24"/>
                <w:szCs w:val="24"/>
              </w:rPr>
              <w:t>Alain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2004. </w:t>
            </w:r>
            <w:proofErr w:type="spellStart"/>
            <w:r w:rsidRPr="009A55BC">
              <w:rPr>
                <w:rFonts w:ascii="Times New Roman" w:hAnsi="Times New Roman"/>
                <w:sz w:val="24"/>
                <w:szCs w:val="24"/>
              </w:rPr>
              <w:t>Classification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Surgical</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Complications</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New</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Proposal</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With</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Evaluation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in</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Cohort</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6336 </w:t>
            </w:r>
            <w:proofErr w:type="spellStart"/>
            <w:r w:rsidRPr="009A55BC">
              <w:rPr>
                <w:rFonts w:ascii="Times New Roman" w:hAnsi="Times New Roman"/>
                <w:sz w:val="24"/>
                <w:szCs w:val="24"/>
              </w:rPr>
              <w:t>Patients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and</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Results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Survey</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Annals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Surgery</w:t>
            </w:r>
            <w:proofErr w:type="spellEnd"/>
            <w:r w:rsidRPr="009A55BC">
              <w:rPr>
                <w:rFonts w:ascii="Times New Roman" w:hAnsi="Times New Roman"/>
                <w:sz w:val="24"/>
                <w:szCs w:val="24"/>
              </w:rPr>
              <w:t>. Aug; 240(2): 205–213.</w:t>
            </w:r>
          </w:p>
        </w:tc>
      </w:tr>
      <w:tr w:rsidR="00A56812" w:rsidRPr="009A55BC" w14:paraId="190A0B43" w14:textId="77777777" w:rsidTr="009A55BC">
        <w:trPr>
          <w:cantSplit/>
        </w:trPr>
        <w:tc>
          <w:tcPr>
            <w:tcW w:w="1287" w:type="dxa"/>
          </w:tcPr>
          <w:p w14:paraId="69789FF9" w14:textId="00A2364D" w:rsidR="00A56812" w:rsidRPr="009A55BC" w:rsidRDefault="005D7B3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A56812" w:rsidRPr="009A55BC">
              <w:rPr>
                <w:rFonts w:ascii="Times New Roman" w:hAnsi="Times New Roman"/>
                <w:sz w:val="24"/>
                <w:szCs w:val="24"/>
              </w:rPr>
              <w:t>4.</w:t>
            </w:r>
          </w:p>
        </w:tc>
        <w:tc>
          <w:tcPr>
            <w:tcW w:w="2824" w:type="dxa"/>
          </w:tcPr>
          <w:p w14:paraId="3A8A36BE" w14:textId="1EAB6A55" w:rsidR="009430D7"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Unikālo pacientu skaita procentuālais īpatsvars, kuri saņēmuši plānveida onkoloģisko ķirurģisko ārstēšanu</w:t>
            </w:r>
            <w:r w:rsidR="000256DB" w:rsidRPr="009A55BC">
              <w:rPr>
                <w:rFonts w:ascii="Times New Roman" w:hAnsi="Times New Roman"/>
                <w:sz w:val="24"/>
                <w:szCs w:val="24"/>
              </w:rPr>
              <w:t xml:space="preserve"> ( pie auss, deguna un balsenes, un ādas ļaundabīgajiem audzējiem arī ambulatorie pakalpojumi un dienas stacionāra pakalpojumi)</w:t>
            </w:r>
            <w:r w:rsidRPr="009A55BC">
              <w:rPr>
                <w:rFonts w:ascii="Times New Roman" w:hAnsi="Times New Roman"/>
                <w:sz w:val="24"/>
                <w:szCs w:val="24"/>
              </w:rPr>
              <w:t xml:space="preserve">   28 dienu laikā pēc ambulatorā vai stacionārā konsīlija (terapijas taktikas pieņemšana)</w:t>
            </w:r>
            <w:r w:rsidR="00903ACE" w:rsidRPr="009A55BC">
              <w:rPr>
                <w:rFonts w:ascii="Times New Roman" w:hAnsi="Times New Roman"/>
                <w:sz w:val="24"/>
                <w:szCs w:val="24"/>
              </w:rPr>
              <w:t xml:space="preserve"> diagnozēs</w:t>
            </w:r>
            <w:r w:rsidR="000C0B72" w:rsidRPr="009A55BC">
              <w:rPr>
                <w:rFonts w:ascii="Times New Roman" w:hAnsi="Times New Roman"/>
                <w:sz w:val="24"/>
                <w:szCs w:val="24"/>
              </w:rPr>
              <w:t xml:space="preserve"> C00–C97, D00–D09, D37–D48 un D61</w:t>
            </w:r>
            <w:r w:rsidR="00347F27" w:rsidRPr="009A55BC">
              <w:rPr>
                <w:rFonts w:ascii="Times New Roman" w:hAnsi="Times New Roman"/>
                <w:sz w:val="24"/>
                <w:szCs w:val="24"/>
              </w:rPr>
              <w:t xml:space="preserve">.  </w:t>
            </w:r>
          </w:p>
          <w:p w14:paraId="539DFEFA" w14:textId="42FAEFFA" w:rsidR="00A56812" w:rsidRPr="009A55BC" w:rsidRDefault="00A56812" w:rsidP="009A55BC">
            <w:pPr>
              <w:pStyle w:val="ListParagraph"/>
              <w:spacing w:line="240" w:lineRule="auto"/>
              <w:ind w:left="0"/>
              <w:rPr>
                <w:rFonts w:ascii="Times New Roman" w:hAnsi="Times New Roman"/>
                <w:sz w:val="24"/>
                <w:szCs w:val="24"/>
              </w:rPr>
            </w:pPr>
          </w:p>
        </w:tc>
        <w:tc>
          <w:tcPr>
            <w:tcW w:w="5812" w:type="dxa"/>
          </w:tcPr>
          <w:p w14:paraId="7F27C9CF" w14:textId="0D0A537E"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Atbilstoši Dienesta veselības aprūpes pakalpojumu apmaksas norēķinu sistēmas „Vadības informācijas sistēma” datiem unikālo pacientu skaits, kuri 28 dienu periodā</w:t>
            </w:r>
            <w:r w:rsidRPr="009A55BC">
              <w:rPr>
                <w:rFonts w:ascii="Times New Roman" w:hAnsi="Times New Roman"/>
                <w:sz w:val="24"/>
                <w:szCs w:val="24"/>
                <w:vertAlign w:val="superscript"/>
              </w:rPr>
              <w:t>1</w:t>
            </w:r>
            <w:r w:rsidRPr="009A55BC">
              <w:rPr>
                <w:rFonts w:ascii="Times New Roman" w:hAnsi="Times New Roman"/>
                <w:sz w:val="24"/>
                <w:szCs w:val="24"/>
              </w:rPr>
              <w:t xml:space="preserve"> pēc ambulatorā vai stacionārā konsīlija (terapijas taktikas pieņemšana) plānveidā saņēmuši onkoloģiskās ķirurģijas pakalpojumu stacionārām</w:t>
            </w:r>
            <w:r w:rsidR="000256DB" w:rsidRPr="009A55BC">
              <w:rPr>
                <w:rFonts w:ascii="Times New Roman" w:hAnsi="Times New Roman"/>
                <w:sz w:val="24"/>
                <w:szCs w:val="24"/>
              </w:rPr>
              <w:t xml:space="preserve"> vai  pie auss, deguna un balsenes, un ādas ļaundabīgajiem audzējiem arī ambulatorie pakalpojumi un dienas stacionāra pakalpojumi </w:t>
            </w:r>
            <w:r w:rsidRPr="009A55BC">
              <w:rPr>
                <w:rFonts w:ascii="Times New Roman" w:hAnsi="Times New Roman"/>
                <w:sz w:val="24"/>
                <w:szCs w:val="24"/>
                <w:vertAlign w:val="superscript"/>
              </w:rPr>
              <w:t>2</w:t>
            </w:r>
            <w:r w:rsidRPr="009A55BC">
              <w:rPr>
                <w:rFonts w:ascii="Times New Roman" w:hAnsi="Times New Roman"/>
                <w:sz w:val="24"/>
                <w:szCs w:val="24"/>
              </w:rPr>
              <w:t>/</w:t>
            </w:r>
          </w:p>
          <w:p w14:paraId="3D069725" w14:textId="0D7AE80E"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Kopējais unikālo onkoloģisko pacientu skaits, kuriem bijis ārstu konsīlijs terapijas taktikas pieņemšanai ar nosūtījumu onkoloģiskā ķirurģiskā pakalpojuma saņemšanai</w:t>
            </w:r>
            <w:r w:rsidRPr="009A55BC">
              <w:rPr>
                <w:rFonts w:ascii="Times New Roman" w:hAnsi="Times New Roman"/>
                <w:sz w:val="24"/>
                <w:szCs w:val="24"/>
                <w:vertAlign w:val="superscript"/>
              </w:rPr>
              <w:t>3</w:t>
            </w:r>
            <w:r w:rsidRPr="009A55BC">
              <w:rPr>
                <w:rFonts w:ascii="Times New Roman" w:hAnsi="Times New Roman"/>
                <w:sz w:val="24"/>
                <w:szCs w:val="24"/>
              </w:rPr>
              <w:t>, izteikts %.</w:t>
            </w:r>
            <w:r w:rsidRPr="009A55BC">
              <w:rPr>
                <w:rFonts w:ascii="Times New Roman" w:hAnsi="Times New Roman"/>
                <w:sz w:val="24"/>
                <w:szCs w:val="24"/>
                <w:vertAlign w:val="superscript"/>
              </w:rPr>
              <w:t>4</w:t>
            </w:r>
          </w:p>
          <w:p w14:paraId="335EE1FC" w14:textId="1187BB4E"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28 dienu periodu skaita no ambulatorā talona vai stacionārā uzskaites dokumenta, kurā uzrādīta</w:t>
            </w:r>
            <w:r w:rsidR="00481269" w:rsidRPr="009A55BC">
              <w:rPr>
                <w:rFonts w:ascii="Times New Roman" w:hAnsi="Times New Roman"/>
                <w:sz w:val="24"/>
                <w:szCs w:val="24"/>
              </w:rPr>
              <w:t>s</w:t>
            </w:r>
            <w:r w:rsidRPr="009A55BC">
              <w:rPr>
                <w:rFonts w:ascii="Times New Roman" w:hAnsi="Times New Roman"/>
                <w:sz w:val="24"/>
                <w:szCs w:val="24"/>
              </w:rPr>
              <w:t xml:space="preserve"> konsīlija manipulācija</w:t>
            </w:r>
            <w:r w:rsidR="00481269" w:rsidRPr="009A55BC">
              <w:rPr>
                <w:rFonts w:ascii="Times New Roman" w:hAnsi="Times New Roman"/>
                <w:sz w:val="24"/>
                <w:szCs w:val="24"/>
              </w:rPr>
              <w:t>s:</w:t>
            </w:r>
            <w:r w:rsidRPr="009A55BC">
              <w:rPr>
                <w:rFonts w:ascii="Times New Roman" w:hAnsi="Times New Roman"/>
                <w:sz w:val="24"/>
                <w:szCs w:val="24"/>
              </w:rPr>
              <w:t xml:space="preserve"> </w:t>
            </w:r>
            <w:r w:rsidR="00481269" w:rsidRPr="009A55BC">
              <w:rPr>
                <w:rFonts w:ascii="Times New Roman" w:hAnsi="Times New Roman"/>
                <w:sz w:val="24"/>
                <w:szCs w:val="24"/>
              </w:rPr>
              <w:t xml:space="preserve">60209; 60210; 60228; 60226 un </w:t>
            </w:r>
            <w:r w:rsidRPr="009A55BC">
              <w:rPr>
                <w:rFonts w:ascii="Times New Roman" w:hAnsi="Times New Roman"/>
                <w:sz w:val="24"/>
                <w:szCs w:val="24"/>
              </w:rPr>
              <w:t>60218. Ārstu konsīlijs (līdz 4 speciālistiem) terapijas taktikas pieņemšanai pacientam ar pirmreizēji diagnosticētu onkoloģisko slimību. Iekļauta samaksa par visu konsīlijā iesaistīto darbu. Vienam pacientam vienu reizi norāda konsīlija vadītājs, epizodes beigu jeb izrakstīšanas datuma līdz plānveida stacionārās onkoloģijas ārstēšanas hospitalizācijas sākuma datumam</w:t>
            </w:r>
            <w:r w:rsidRPr="009A55BC">
              <w:rPr>
                <w:rFonts w:ascii="Times New Roman" w:hAnsi="Times New Roman"/>
                <w:i/>
                <w:iCs/>
                <w:sz w:val="24"/>
                <w:szCs w:val="24"/>
              </w:rPr>
              <w:t>.</w:t>
            </w:r>
            <w:r w:rsidRPr="009A55BC">
              <w:rPr>
                <w:rFonts w:ascii="Times New Roman" w:hAnsi="Times New Roman"/>
                <w:sz w:val="24"/>
                <w:szCs w:val="24"/>
              </w:rPr>
              <w:t xml:space="preserve"> </w:t>
            </w:r>
          </w:p>
          <w:p w14:paraId="467414FA" w14:textId="4673C15B"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Atlasa visus unikālos stacionāros pacientus, kuri 28 dienu periodā pēc ambulatorā vai stacionārā ārstu konsīlija plānveidā saņēmuši onkoloģiskās ķirurģijas pakalpojumus stacionārā</w:t>
            </w:r>
            <w:r w:rsidR="000256DB" w:rsidRPr="009A55BC">
              <w:rPr>
                <w:rFonts w:ascii="Times New Roman" w:hAnsi="Times New Roman"/>
                <w:sz w:val="24"/>
                <w:szCs w:val="24"/>
              </w:rPr>
              <w:t xml:space="preserve"> (pie auss, deguna un balsenes, un ādas ļaundabīgajiem audzējiem arī ambulatorie pakalpojumi un dienas stacionāra pakalpojumi)</w:t>
            </w:r>
            <w:r w:rsidRPr="009A55BC">
              <w:rPr>
                <w:rFonts w:ascii="Times New Roman" w:hAnsi="Times New Roman"/>
                <w:sz w:val="24"/>
                <w:szCs w:val="24"/>
              </w:rPr>
              <w:t xml:space="preserve"> un kuriem Dienesta Veselības aprūpes un pakalpojumu apmaksas norēķinu sistēmā ir norādīta  pamata izrakstīšanas diagnoze </w:t>
            </w:r>
            <w:r w:rsidR="002F2F14" w:rsidRPr="009A55BC">
              <w:rPr>
                <w:rFonts w:ascii="Times New Roman" w:hAnsi="Times New Roman"/>
                <w:sz w:val="24"/>
                <w:szCs w:val="24"/>
              </w:rPr>
              <w:t xml:space="preserve"> C00–C97, D00–D09, D37–D48 un D61</w:t>
            </w:r>
            <w:r w:rsidRPr="009A55BC">
              <w:rPr>
                <w:rFonts w:ascii="Times New Roman" w:hAnsi="Times New Roman"/>
                <w:sz w:val="24"/>
                <w:szCs w:val="24"/>
              </w:rPr>
              <w:t>, kā arī  kāda no atbilstošām manipulācijām terapijas taktikas pieņemšanai.</w:t>
            </w:r>
          </w:p>
          <w:p w14:paraId="1380540F" w14:textId="49E248C2"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Analizējamajā datu kopā netiek iekļauti pacienti, kuriem nozīmēta cita veida ārstēšana (atbilstoši uzskaites dokumentā norādītajai statistikas manipulācijai) vai kuri miruši 28 dienu laikā pēc konsīlija.</w:t>
            </w:r>
          </w:p>
          <w:p w14:paraId="6B899AF1" w14:textId="37B4088A"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4</w:t>
            </w:r>
            <w:r w:rsidRPr="009A55BC">
              <w:rPr>
                <w:rFonts w:ascii="Times New Roman" w:hAnsi="Times New Roman"/>
                <w:sz w:val="24"/>
                <w:szCs w:val="24"/>
              </w:rPr>
              <w:t xml:space="preserve">Rezultātā tiek iegūts unikālo pacientu procentuālais īpatsvars, kurš pēc šī pielikuma </w:t>
            </w:r>
            <w:r w:rsidR="00A451DC"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4</w:t>
            </w:r>
            <w:r w:rsidRPr="009A55BC">
              <w:rPr>
                <w:rFonts w:ascii="Times New Roman" w:hAnsi="Times New Roman"/>
                <w:sz w:val="24"/>
                <w:szCs w:val="24"/>
              </w:rPr>
              <w:t>.apakšpunkta mērķa rādītāja vērtējams kā pieņemams, uzraugāms vai nepieņemams</w:t>
            </w:r>
            <w:r w:rsidRPr="009A55BC">
              <w:rPr>
                <w:rFonts w:ascii="Times New Roman" w:hAnsi="Times New Roman"/>
                <w:sz w:val="24"/>
                <w:szCs w:val="24"/>
                <w:vertAlign w:val="superscript"/>
              </w:rPr>
              <w:t>.1</w:t>
            </w:r>
            <w:r w:rsidRPr="009A55BC">
              <w:rPr>
                <w:rFonts w:ascii="Times New Roman" w:hAnsi="Times New Roman"/>
                <w:sz w:val="24"/>
                <w:szCs w:val="24"/>
              </w:rPr>
              <w:t xml:space="preserve"> Pamata izrakstīšanās diagnoze pēc </w:t>
            </w:r>
            <w:r w:rsidR="002F2F14" w:rsidRPr="009A55BC">
              <w:rPr>
                <w:rFonts w:ascii="Times New Roman" w:hAnsi="Times New Roman"/>
                <w:sz w:val="24"/>
                <w:szCs w:val="24"/>
              </w:rPr>
              <w:t>SSK</w:t>
            </w:r>
            <w:r w:rsidR="00903ACE" w:rsidRPr="009A55BC">
              <w:rPr>
                <w:rFonts w:ascii="Times New Roman" w:hAnsi="Times New Roman"/>
                <w:sz w:val="24"/>
                <w:szCs w:val="24"/>
              </w:rPr>
              <w:t>-</w:t>
            </w:r>
            <w:r w:rsidR="002F2F14" w:rsidRPr="009A55BC">
              <w:rPr>
                <w:rFonts w:ascii="Times New Roman" w:hAnsi="Times New Roman"/>
                <w:sz w:val="24"/>
                <w:szCs w:val="24"/>
              </w:rPr>
              <w:t>10: C00–C97, D00–D09, D37–D48 un D61</w:t>
            </w:r>
            <w:r w:rsidRPr="009A55BC">
              <w:rPr>
                <w:rFonts w:ascii="Times New Roman" w:hAnsi="Times New Roman"/>
                <w:sz w:val="24"/>
                <w:szCs w:val="24"/>
              </w:rPr>
              <w:t>.</w:t>
            </w:r>
          </w:p>
        </w:tc>
      </w:tr>
      <w:tr w:rsidR="00A56812" w:rsidRPr="009A55BC" w14:paraId="2F884002" w14:textId="77777777" w:rsidTr="009A55BC">
        <w:trPr>
          <w:cantSplit/>
        </w:trPr>
        <w:tc>
          <w:tcPr>
            <w:tcW w:w="1287" w:type="dxa"/>
          </w:tcPr>
          <w:p w14:paraId="315EB89F" w14:textId="6F7373C4" w:rsidR="00A56812" w:rsidRPr="009A55BC" w:rsidRDefault="009E325F"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3.5.</w:t>
            </w:r>
          </w:p>
        </w:tc>
        <w:tc>
          <w:tcPr>
            <w:tcW w:w="2824" w:type="dxa"/>
          </w:tcPr>
          <w:p w14:paraId="19DD76D8" w14:textId="35D35FA6"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Pacientu sūdzību, procentuālais īpatsvars no kopējā pakalpojumu skaita</w:t>
            </w:r>
          </w:p>
        </w:tc>
        <w:tc>
          <w:tcPr>
            <w:tcW w:w="5812" w:type="dxa"/>
          </w:tcPr>
          <w:p w14:paraId="6024F018" w14:textId="2C34F3EE"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eastAsiaTheme="minorEastAsia" w:hAnsi="Times New Roman"/>
                <w:sz w:val="24"/>
                <w:szCs w:val="24"/>
              </w:rPr>
            </w:pPr>
            <w:r w:rsidRPr="009A55BC">
              <w:rPr>
                <w:rFonts w:ascii="Times New Roman" w:eastAsiaTheme="minorEastAsia" w:hAnsi="Times New Roman"/>
                <w:sz w:val="24"/>
                <w:szCs w:val="24"/>
              </w:rPr>
              <w:t>pacientu sūdzību, skaits par minētajiem pakalpojumiem/</w:t>
            </w:r>
          </w:p>
          <w:p w14:paraId="041BA855" w14:textId="20088FC3"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eastAsiaTheme="minorEastAsia" w:hAnsi="Times New Roman"/>
                <w:sz w:val="24"/>
                <w:szCs w:val="24"/>
              </w:rPr>
            </w:pPr>
            <w:r w:rsidRPr="009A55BC">
              <w:rPr>
                <w:rFonts w:ascii="Times New Roman" w:eastAsiaTheme="minorEastAsia" w:hAnsi="Times New Roman"/>
                <w:sz w:val="24"/>
                <w:szCs w:val="24"/>
              </w:rPr>
              <w:t>kopējais</w:t>
            </w:r>
            <w:r w:rsidR="008A340D" w:rsidRPr="009A55BC">
              <w:rPr>
                <w:rFonts w:ascii="Times New Roman" w:eastAsiaTheme="minorEastAsia" w:hAnsi="Times New Roman"/>
                <w:sz w:val="24"/>
                <w:szCs w:val="24"/>
              </w:rPr>
              <w:t xml:space="preserve"> hospitalizēto</w:t>
            </w:r>
            <w:r w:rsidRPr="009A55BC">
              <w:rPr>
                <w:rFonts w:ascii="Times New Roman" w:eastAsiaTheme="minorEastAsia" w:hAnsi="Times New Roman"/>
                <w:sz w:val="24"/>
                <w:szCs w:val="24"/>
              </w:rPr>
              <w:t xml:space="preserve"> </w:t>
            </w:r>
            <w:r w:rsidR="008A340D" w:rsidRPr="009A55BC">
              <w:rPr>
                <w:rFonts w:ascii="Times New Roman" w:eastAsiaTheme="minorEastAsia" w:hAnsi="Times New Roman"/>
                <w:sz w:val="24"/>
                <w:szCs w:val="24"/>
              </w:rPr>
              <w:t xml:space="preserve">pacientu </w:t>
            </w:r>
            <w:r w:rsidR="009219DC" w:rsidRPr="009A55BC">
              <w:rPr>
                <w:rFonts w:ascii="Times New Roman" w:eastAsiaTheme="minorEastAsia" w:hAnsi="Times New Roman"/>
                <w:sz w:val="24"/>
                <w:szCs w:val="24"/>
              </w:rPr>
              <w:t xml:space="preserve">UD </w:t>
            </w:r>
            <w:r w:rsidR="008A340D" w:rsidRPr="009A55BC">
              <w:rPr>
                <w:rFonts w:ascii="Times New Roman" w:eastAsiaTheme="minorEastAsia" w:hAnsi="Times New Roman"/>
                <w:sz w:val="24"/>
                <w:szCs w:val="24"/>
              </w:rPr>
              <w:t>skaits</w:t>
            </w:r>
            <w:r w:rsidRPr="009A55BC">
              <w:rPr>
                <w:rFonts w:ascii="Times New Roman" w:eastAsiaTheme="minorEastAsia" w:hAnsi="Times New Roman"/>
                <w:sz w:val="24"/>
                <w:szCs w:val="24"/>
              </w:rPr>
              <w:t xml:space="preserve"> </w:t>
            </w:r>
            <w:r w:rsidR="008A340D" w:rsidRPr="009A55BC">
              <w:rPr>
                <w:rFonts w:ascii="Times New Roman" w:eastAsiaTheme="minorEastAsia" w:hAnsi="Times New Roman"/>
                <w:sz w:val="24"/>
                <w:szCs w:val="24"/>
              </w:rPr>
              <w:t xml:space="preserve">stacionārajā ārstniecības </w:t>
            </w:r>
            <w:r w:rsidRPr="009A55BC">
              <w:rPr>
                <w:rFonts w:ascii="Times New Roman" w:eastAsiaTheme="minorEastAsia" w:hAnsi="Times New Roman"/>
                <w:sz w:val="24"/>
                <w:szCs w:val="24"/>
              </w:rPr>
              <w:t>iestādē</w:t>
            </w:r>
            <w:r w:rsidR="008A340D" w:rsidRPr="009A55BC">
              <w:rPr>
                <w:rFonts w:ascii="Times New Roman" w:eastAsiaTheme="minorEastAsia" w:hAnsi="Times New Roman"/>
                <w:sz w:val="24"/>
                <w:szCs w:val="24"/>
              </w:rPr>
              <w:t xml:space="preserve"> ar pamata izrakstīšanās diagnozi pēc SSK-10: C00–C97, D00–D09, D37–D48 un D61</w:t>
            </w:r>
          </w:p>
          <w:p w14:paraId="34156FAA" w14:textId="77777777"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eastAsiaTheme="minorEastAsia" w:hAnsi="Times New Roman"/>
                <w:sz w:val="24"/>
                <w:szCs w:val="24"/>
              </w:rPr>
            </w:pPr>
            <w:r w:rsidRPr="009A55BC">
              <w:rPr>
                <w:rFonts w:ascii="Times New Roman" w:eastAsiaTheme="minorEastAsia" w:hAnsi="Times New Roman"/>
                <w:sz w:val="24"/>
                <w:szCs w:val="24"/>
              </w:rPr>
              <w:t>izteikts%</w:t>
            </w:r>
            <w:r w:rsidRPr="009A55BC">
              <w:rPr>
                <w:rFonts w:ascii="Times New Roman" w:eastAsiaTheme="minorEastAsia" w:hAnsi="Times New Roman"/>
                <w:sz w:val="24"/>
                <w:szCs w:val="24"/>
                <w:vertAlign w:val="superscript"/>
              </w:rPr>
              <w:t>1</w:t>
            </w:r>
          </w:p>
          <w:p w14:paraId="35699BBC" w14:textId="355C9A8E"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eastAsia="Times New Roman" w:hAnsi="Times New Roman"/>
                <w:color w:val="000000"/>
                <w:sz w:val="24"/>
                <w:szCs w:val="24"/>
                <w:vertAlign w:val="superscript"/>
                <w:lang w:eastAsia="lv-LV"/>
              </w:rPr>
              <w:t>1</w:t>
            </w:r>
            <w:r w:rsidRPr="009A55BC">
              <w:rPr>
                <w:rFonts w:ascii="Times New Roman" w:eastAsia="Times New Roman" w:hAnsi="Times New Roman"/>
                <w:color w:val="000000"/>
                <w:sz w:val="24"/>
                <w:szCs w:val="24"/>
                <w:lang w:eastAsia="lv-LV"/>
              </w:rPr>
              <w:t xml:space="preserve">Rezultātā tiek iegūts </w:t>
            </w:r>
            <w:r w:rsidRPr="009A55BC">
              <w:rPr>
                <w:rFonts w:ascii="Times New Roman" w:hAnsi="Times New Roman"/>
                <w:sz w:val="24"/>
                <w:szCs w:val="24"/>
              </w:rPr>
              <w:t xml:space="preserve">sūdzību procentuālais īpatsvars, kurš pēc </w:t>
            </w:r>
            <w:r w:rsidR="008A340D"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5</w:t>
            </w:r>
            <w:r w:rsidRPr="009A55BC">
              <w:rPr>
                <w:rFonts w:ascii="Times New Roman" w:hAnsi="Times New Roman"/>
                <w:sz w:val="24"/>
                <w:szCs w:val="24"/>
              </w:rPr>
              <w:t>. punkta mērķa rādītāja vērtējams kā pieņemams, uzraugāms vai nepieņemams</w:t>
            </w:r>
          </w:p>
        </w:tc>
      </w:tr>
    </w:tbl>
    <w:p w14:paraId="5C930CF3" w14:textId="77777777" w:rsidR="009716B9" w:rsidRPr="009A55BC" w:rsidRDefault="009716B9" w:rsidP="009A55BC">
      <w:pPr>
        <w:pStyle w:val="ListParagraph"/>
        <w:spacing w:after="0" w:line="240" w:lineRule="auto"/>
        <w:ind w:left="0"/>
        <w:rPr>
          <w:rFonts w:ascii="Times New Roman" w:hAnsi="Times New Roman"/>
          <w:sz w:val="24"/>
          <w:szCs w:val="24"/>
        </w:rPr>
      </w:pPr>
    </w:p>
    <w:p w14:paraId="190C55DC" w14:textId="10B874FF" w:rsidR="00930B46" w:rsidRPr="009A55BC" w:rsidRDefault="009E325F" w:rsidP="009A55BC">
      <w:pPr>
        <w:pStyle w:val="ListParagraph"/>
        <w:spacing w:after="0" w:line="240" w:lineRule="auto"/>
        <w:ind w:left="0"/>
        <w:jc w:val="both"/>
        <w:rPr>
          <w:rFonts w:ascii="Times New Roman" w:hAnsi="Times New Roman"/>
          <w:sz w:val="24"/>
          <w:szCs w:val="24"/>
        </w:rPr>
      </w:pPr>
      <w:r w:rsidRPr="009A55BC">
        <w:rPr>
          <w:rFonts w:ascii="Times New Roman" w:hAnsi="Times New Roman"/>
          <w:sz w:val="24"/>
          <w:szCs w:val="24"/>
        </w:rPr>
        <w:lastRenderedPageBreak/>
        <w:t>4</w:t>
      </w:r>
      <w:r w:rsidR="009716B9" w:rsidRPr="009A55BC">
        <w:rPr>
          <w:rFonts w:ascii="Times New Roman" w:hAnsi="Times New Roman"/>
          <w:sz w:val="24"/>
          <w:szCs w:val="24"/>
        </w:rPr>
        <w:t xml:space="preserve">. </w:t>
      </w:r>
      <w:r w:rsidR="00DD47B9" w:rsidRPr="009A55BC">
        <w:rPr>
          <w:rFonts w:ascii="Times New Roman" w:hAnsi="Times New Roman"/>
          <w:sz w:val="24"/>
          <w:szCs w:val="24"/>
        </w:rPr>
        <w:t xml:space="preserve">Ārstniecības iestādēm, kuras papildus jau sniegtajiem plānveida stacionārās onkoloģijas ārstēšanas pakalpojumiem iegūst tiesības paplašināt </w:t>
      </w:r>
      <w:r w:rsidR="009716B9" w:rsidRPr="009A55BC">
        <w:rPr>
          <w:rFonts w:ascii="Times New Roman" w:hAnsi="Times New Roman"/>
          <w:sz w:val="24"/>
          <w:szCs w:val="24"/>
        </w:rPr>
        <w:t>diagnožu</w:t>
      </w:r>
      <w:r w:rsidR="00903ACE" w:rsidRPr="009A55BC">
        <w:rPr>
          <w:rFonts w:ascii="Times New Roman" w:hAnsi="Times New Roman"/>
          <w:sz w:val="24"/>
          <w:szCs w:val="24"/>
        </w:rPr>
        <w:t xml:space="preserve"> skaitu, pirmos divus gadus kritēriju vērtēšana tiek veikta tāpat kā pārējiem pakalpojuma sniedzējiem, taču netiek uz tā pamata grozīts vai pārtraukts līgums.</w:t>
      </w:r>
      <w:r w:rsidR="009716B9" w:rsidRPr="009A55BC">
        <w:rPr>
          <w:rFonts w:ascii="Times New Roman" w:hAnsi="Times New Roman"/>
          <w:sz w:val="24"/>
          <w:szCs w:val="24"/>
        </w:rPr>
        <w:t xml:space="preserve"> </w:t>
      </w:r>
    </w:p>
    <w:p w14:paraId="2872A144" w14:textId="77777777" w:rsidR="009716B9" w:rsidRPr="009A55BC" w:rsidRDefault="009716B9" w:rsidP="009A55BC">
      <w:pPr>
        <w:pStyle w:val="ListParagraph"/>
        <w:spacing w:after="0" w:line="240" w:lineRule="auto"/>
        <w:ind w:left="0"/>
        <w:jc w:val="both"/>
        <w:rPr>
          <w:rFonts w:ascii="Times New Roman" w:hAnsi="Times New Roman"/>
          <w:sz w:val="24"/>
          <w:szCs w:val="24"/>
        </w:rPr>
      </w:pPr>
    </w:p>
    <w:p w14:paraId="09469731" w14:textId="0595A60A" w:rsidR="00930B46" w:rsidRPr="009A55BC" w:rsidRDefault="009E325F" w:rsidP="009A55BC">
      <w:pPr>
        <w:spacing w:after="0" w:line="240" w:lineRule="auto"/>
        <w:rPr>
          <w:rFonts w:ascii="Times New Roman" w:hAnsi="Times New Roman"/>
          <w:sz w:val="24"/>
          <w:szCs w:val="24"/>
        </w:rPr>
      </w:pPr>
      <w:r w:rsidRPr="009A55BC">
        <w:rPr>
          <w:rFonts w:ascii="Times New Roman" w:hAnsi="Times New Roman"/>
          <w:sz w:val="24"/>
          <w:szCs w:val="24"/>
        </w:rPr>
        <w:t xml:space="preserve">5. </w:t>
      </w:r>
      <w:r w:rsidR="00930B46" w:rsidRPr="009A55BC">
        <w:rPr>
          <w:rFonts w:ascii="Times New Roman" w:hAnsi="Times New Roman"/>
          <w:sz w:val="24"/>
          <w:szCs w:val="24"/>
        </w:rPr>
        <w:t>Kritēriju robežvērtības:</w:t>
      </w:r>
    </w:p>
    <w:p w14:paraId="4F02461A" w14:textId="77777777" w:rsidR="009A55BC" w:rsidRPr="009A55BC" w:rsidRDefault="009A55BC" w:rsidP="009A55BC">
      <w:pPr>
        <w:spacing w:after="0" w:line="240" w:lineRule="auto"/>
        <w:rPr>
          <w:rFonts w:ascii="Times New Roman" w:hAnsi="Times New Roman"/>
          <w:b/>
          <w:sz w:val="24"/>
          <w:szCs w:val="24"/>
        </w:rPr>
      </w:pPr>
    </w:p>
    <w:tbl>
      <w:tblPr>
        <w:tblStyle w:val="TableGrid1"/>
        <w:tblW w:w="10343" w:type="dxa"/>
        <w:jc w:val="center"/>
        <w:tblLayout w:type="fixed"/>
        <w:tblLook w:val="04A0" w:firstRow="1" w:lastRow="0" w:firstColumn="1" w:lastColumn="0" w:noHBand="0" w:noVBand="1"/>
      </w:tblPr>
      <w:tblGrid>
        <w:gridCol w:w="988"/>
        <w:gridCol w:w="1701"/>
        <w:gridCol w:w="850"/>
        <w:gridCol w:w="851"/>
        <w:gridCol w:w="850"/>
        <w:gridCol w:w="851"/>
        <w:gridCol w:w="850"/>
        <w:gridCol w:w="851"/>
        <w:gridCol w:w="850"/>
        <w:gridCol w:w="851"/>
        <w:gridCol w:w="850"/>
      </w:tblGrid>
      <w:tr w:rsidR="00E46133" w:rsidRPr="009A55BC" w14:paraId="1FA5FD0E" w14:textId="77777777" w:rsidTr="00DA47D0">
        <w:trPr>
          <w:jc w:val="center"/>
        </w:trPr>
        <w:tc>
          <w:tcPr>
            <w:tcW w:w="988" w:type="dxa"/>
            <w:vMerge w:val="restart"/>
            <w:shd w:val="clear" w:color="auto" w:fill="E7E6E6" w:themeFill="background2"/>
          </w:tcPr>
          <w:p w14:paraId="7422E41A" w14:textId="140675CA" w:rsidR="00E46133" w:rsidRPr="009A55BC" w:rsidRDefault="00E46133" w:rsidP="009A55BC">
            <w:pPr>
              <w:spacing w:line="240" w:lineRule="auto"/>
              <w:contextualSpacing/>
              <w:jc w:val="center"/>
              <w:rPr>
                <w:rFonts w:ascii="Times New Roman" w:hAnsi="Times New Roman"/>
                <w:sz w:val="24"/>
                <w:szCs w:val="24"/>
              </w:rPr>
            </w:pPr>
            <w:proofErr w:type="spellStart"/>
            <w:r w:rsidRPr="009A55BC">
              <w:rPr>
                <w:rFonts w:ascii="Times New Roman" w:hAnsi="Times New Roman"/>
                <w:sz w:val="24"/>
                <w:szCs w:val="24"/>
              </w:rPr>
              <w:t>N.p.k</w:t>
            </w:r>
            <w:proofErr w:type="spellEnd"/>
            <w:r w:rsidRPr="009A55BC">
              <w:rPr>
                <w:rFonts w:ascii="Times New Roman" w:hAnsi="Times New Roman"/>
                <w:sz w:val="24"/>
                <w:szCs w:val="24"/>
              </w:rPr>
              <w:t>.</w:t>
            </w:r>
          </w:p>
        </w:tc>
        <w:tc>
          <w:tcPr>
            <w:tcW w:w="1701" w:type="dxa"/>
            <w:vMerge w:val="restart"/>
            <w:shd w:val="clear" w:color="auto" w:fill="E7E6E6" w:themeFill="background2"/>
          </w:tcPr>
          <w:p w14:paraId="7995A736"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Kritērija nosaukums</w:t>
            </w:r>
          </w:p>
        </w:tc>
        <w:tc>
          <w:tcPr>
            <w:tcW w:w="7654" w:type="dxa"/>
            <w:gridSpan w:val="9"/>
            <w:shd w:val="clear" w:color="auto" w:fill="E7E6E6" w:themeFill="background2"/>
          </w:tcPr>
          <w:p w14:paraId="7D3CC6DD"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Mērķa rādītāji</w:t>
            </w:r>
          </w:p>
        </w:tc>
      </w:tr>
      <w:tr w:rsidR="00E46133" w:rsidRPr="009A55BC" w14:paraId="03D4739F" w14:textId="77777777" w:rsidTr="00DA47D0">
        <w:trPr>
          <w:jc w:val="center"/>
        </w:trPr>
        <w:tc>
          <w:tcPr>
            <w:tcW w:w="988" w:type="dxa"/>
            <w:vMerge/>
            <w:shd w:val="clear" w:color="auto" w:fill="E7E6E6" w:themeFill="background2"/>
          </w:tcPr>
          <w:p w14:paraId="3DE9C3CC" w14:textId="77777777" w:rsidR="00E46133" w:rsidRPr="009A55BC" w:rsidRDefault="00E46133" w:rsidP="009A55BC">
            <w:pPr>
              <w:spacing w:line="240" w:lineRule="auto"/>
              <w:contextualSpacing/>
              <w:rPr>
                <w:rFonts w:ascii="Times New Roman" w:hAnsi="Times New Roman"/>
                <w:sz w:val="24"/>
                <w:szCs w:val="24"/>
              </w:rPr>
            </w:pPr>
          </w:p>
        </w:tc>
        <w:tc>
          <w:tcPr>
            <w:tcW w:w="1701" w:type="dxa"/>
            <w:vMerge/>
            <w:shd w:val="clear" w:color="auto" w:fill="E7E6E6" w:themeFill="background2"/>
          </w:tcPr>
          <w:p w14:paraId="4C094E69" w14:textId="77777777" w:rsidR="00E46133" w:rsidRPr="009A55BC" w:rsidRDefault="00E46133" w:rsidP="009A55BC">
            <w:pPr>
              <w:spacing w:line="240" w:lineRule="auto"/>
              <w:contextualSpacing/>
              <w:rPr>
                <w:rFonts w:ascii="Times New Roman" w:hAnsi="Times New Roman"/>
                <w:sz w:val="24"/>
                <w:szCs w:val="24"/>
              </w:rPr>
            </w:pPr>
          </w:p>
        </w:tc>
        <w:tc>
          <w:tcPr>
            <w:tcW w:w="2551" w:type="dxa"/>
            <w:gridSpan w:val="3"/>
            <w:shd w:val="clear" w:color="auto" w:fill="FFCCCC"/>
          </w:tcPr>
          <w:p w14:paraId="1C12022A"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Nepieņemams</w:t>
            </w:r>
          </w:p>
        </w:tc>
        <w:tc>
          <w:tcPr>
            <w:tcW w:w="2552" w:type="dxa"/>
            <w:gridSpan w:val="3"/>
            <w:shd w:val="clear" w:color="auto" w:fill="FFF2CC" w:themeFill="accent4" w:themeFillTint="33"/>
          </w:tcPr>
          <w:p w14:paraId="79E9CDEF"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Uzraugāms</w:t>
            </w:r>
          </w:p>
        </w:tc>
        <w:tc>
          <w:tcPr>
            <w:tcW w:w="2551" w:type="dxa"/>
            <w:gridSpan w:val="3"/>
            <w:shd w:val="clear" w:color="auto" w:fill="E2EFD9" w:themeFill="accent6" w:themeFillTint="33"/>
          </w:tcPr>
          <w:p w14:paraId="198E515F"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Pieņemams</w:t>
            </w:r>
          </w:p>
        </w:tc>
      </w:tr>
      <w:tr w:rsidR="00DA47D0" w:rsidRPr="009A55BC" w14:paraId="34EC0F1C" w14:textId="77777777" w:rsidTr="00DA47D0">
        <w:trPr>
          <w:trHeight w:val="409"/>
          <w:jc w:val="center"/>
        </w:trPr>
        <w:tc>
          <w:tcPr>
            <w:tcW w:w="988" w:type="dxa"/>
            <w:vMerge/>
            <w:shd w:val="clear" w:color="auto" w:fill="E7E6E6" w:themeFill="background2"/>
          </w:tcPr>
          <w:p w14:paraId="08644088" w14:textId="77777777" w:rsidR="00E46133" w:rsidRPr="009A55BC" w:rsidRDefault="00E46133" w:rsidP="009A55BC">
            <w:pPr>
              <w:spacing w:line="240" w:lineRule="auto"/>
              <w:contextualSpacing/>
              <w:rPr>
                <w:rFonts w:ascii="Times New Roman" w:hAnsi="Times New Roman"/>
                <w:sz w:val="24"/>
                <w:szCs w:val="24"/>
              </w:rPr>
            </w:pPr>
          </w:p>
        </w:tc>
        <w:tc>
          <w:tcPr>
            <w:tcW w:w="1701" w:type="dxa"/>
            <w:vMerge/>
            <w:shd w:val="clear" w:color="auto" w:fill="E7E6E6" w:themeFill="background2"/>
          </w:tcPr>
          <w:p w14:paraId="090C4381" w14:textId="77777777" w:rsidR="00E46133" w:rsidRPr="009A55BC" w:rsidRDefault="00E46133" w:rsidP="009A55BC">
            <w:pPr>
              <w:spacing w:line="240" w:lineRule="auto"/>
              <w:contextualSpacing/>
              <w:rPr>
                <w:rFonts w:ascii="Times New Roman" w:hAnsi="Times New Roman"/>
                <w:sz w:val="24"/>
                <w:szCs w:val="24"/>
              </w:rPr>
            </w:pPr>
          </w:p>
        </w:tc>
        <w:tc>
          <w:tcPr>
            <w:tcW w:w="850" w:type="dxa"/>
            <w:shd w:val="clear" w:color="auto" w:fill="FFFFFF" w:themeFill="background1"/>
          </w:tcPr>
          <w:p w14:paraId="368651C7" w14:textId="05E65923"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23</w:t>
            </w:r>
            <w:r w:rsidRPr="009A55BC">
              <w:rPr>
                <w:rFonts w:ascii="Times New Roman" w:hAnsi="Times New Roman"/>
                <w:sz w:val="24"/>
                <w:szCs w:val="24"/>
              </w:rPr>
              <w:t>.</w:t>
            </w:r>
          </w:p>
        </w:tc>
        <w:tc>
          <w:tcPr>
            <w:tcW w:w="851" w:type="dxa"/>
            <w:shd w:val="clear" w:color="auto" w:fill="FFFFFF" w:themeFill="background1"/>
          </w:tcPr>
          <w:p w14:paraId="59FC15AF" w14:textId="2EC27C0E"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24</w:t>
            </w:r>
            <w:r w:rsidRPr="009A55BC">
              <w:rPr>
                <w:rFonts w:ascii="Times New Roman" w:hAnsi="Times New Roman"/>
                <w:sz w:val="24"/>
                <w:szCs w:val="24"/>
              </w:rPr>
              <w:t>.</w:t>
            </w:r>
          </w:p>
        </w:tc>
        <w:tc>
          <w:tcPr>
            <w:tcW w:w="850" w:type="dxa"/>
            <w:shd w:val="clear" w:color="auto" w:fill="FFFFFF" w:themeFill="background1"/>
          </w:tcPr>
          <w:p w14:paraId="36D8C4F9" w14:textId="42BE35CA"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25</w:t>
            </w:r>
            <w:r w:rsidRPr="009A55BC">
              <w:rPr>
                <w:rFonts w:ascii="Times New Roman" w:hAnsi="Times New Roman"/>
                <w:sz w:val="24"/>
                <w:szCs w:val="24"/>
              </w:rPr>
              <w:t>.</w:t>
            </w:r>
          </w:p>
        </w:tc>
        <w:tc>
          <w:tcPr>
            <w:tcW w:w="851" w:type="dxa"/>
            <w:shd w:val="clear" w:color="auto" w:fill="FFFFFF" w:themeFill="background1"/>
          </w:tcPr>
          <w:p w14:paraId="35095B9A" w14:textId="70EC02A5"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23</w:t>
            </w:r>
            <w:r w:rsidRPr="009A55BC">
              <w:rPr>
                <w:rFonts w:ascii="Times New Roman" w:hAnsi="Times New Roman"/>
                <w:sz w:val="24"/>
                <w:szCs w:val="24"/>
              </w:rPr>
              <w:t>.</w:t>
            </w:r>
          </w:p>
        </w:tc>
        <w:tc>
          <w:tcPr>
            <w:tcW w:w="850" w:type="dxa"/>
            <w:shd w:val="clear" w:color="auto" w:fill="FFFFFF" w:themeFill="background1"/>
          </w:tcPr>
          <w:p w14:paraId="430BDFF0" w14:textId="2FF0980B"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24</w:t>
            </w:r>
            <w:r w:rsidRPr="009A55BC">
              <w:rPr>
                <w:rFonts w:ascii="Times New Roman" w:hAnsi="Times New Roman"/>
                <w:sz w:val="24"/>
                <w:szCs w:val="24"/>
              </w:rPr>
              <w:t>.</w:t>
            </w:r>
          </w:p>
        </w:tc>
        <w:tc>
          <w:tcPr>
            <w:tcW w:w="851" w:type="dxa"/>
            <w:shd w:val="clear" w:color="auto" w:fill="FFFFFF" w:themeFill="background1"/>
          </w:tcPr>
          <w:p w14:paraId="399ACE7C" w14:textId="4E24782E"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25</w:t>
            </w:r>
            <w:r w:rsidRPr="009A55BC">
              <w:rPr>
                <w:rFonts w:ascii="Times New Roman" w:hAnsi="Times New Roman"/>
                <w:sz w:val="24"/>
                <w:szCs w:val="24"/>
              </w:rPr>
              <w:t>.</w:t>
            </w:r>
          </w:p>
        </w:tc>
        <w:tc>
          <w:tcPr>
            <w:tcW w:w="850" w:type="dxa"/>
            <w:shd w:val="clear" w:color="auto" w:fill="FFFFFF" w:themeFill="background1"/>
          </w:tcPr>
          <w:p w14:paraId="02F02BCA" w14:textId="7E71152E"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23</w:t>
            </w:r>
            <w:r w:rsidRPr="009A55BC">
              <w:rPr>
                <w:rFonts w:ascii="Times New Roman" w:hAnsi="Times New Roman"/>
                <w:sz w:val="24"/>
                <w:szCs w:val="24"/>
              </w:rPr>
              <w:t>.</w:t>
            </w:r>
          </w:p>
        </w:tc>
        <w:tc>
          <w:tcPr>
            <w:tcW w:w="851" w:type="dxa"/>
            <w:shd w:val="clear" w:color="auto" w:fill="FFFFFF" w:themeFill="background1"/>
          </w:tcPr>
          <w:p w14:paraId="52CC9576" w14:textId="5AADAE5F"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w:t>
            </w:r>
            <w:r w:rsidR="00AC2652" w:rsidRPr="009A55BC">
              <w:rPr>
                <w:rFonts w:ascii="Times New Roman" w:hAnsi="Times New Roman"/>
                <w:sz w:val="24"/>
                <w:szCs w:val="24"/>
              </w:rPr>
              <w:t>24</w:t>
            </w:r>
            <w:r w:rsidRPr="009A55BC">
              <w:rPr>
                <w:rFonts w:ascii="Times New Roman" w:hAnsi="Times New Roman"/>
                <w:sz w:val="24"/>
                <w:szCs w:val="24"/>
              </w:rPr>
              <w:t>.</w:t>
            </w:r>
          </w:p>
        </w:tc>
        <w:tc>
          <w:tcPr>
            <w:tcW w:w="850" w:type="dxa"/>
            <w:shd w:val="clear" w:color="auto" w:fill="FFFFFF" w:themeFill="background1"/>
          </w:tcPr>
          <w:p w14:paraId="0D8EA8BD" w14:textId="371749B9"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202</w:t>
            </w:r>
            <w:r w:rsidR="00AC2652" w:rsidRPr="009A55BC">
              <w:rPr>
                <w:rFonts w:ascii="Times New Roman" w:hAnsi="Times New Roman"/>
                <w:sz w:val="24"/>
                <w:szCs w:val="24"/>
              </w:rPr>
              <w:t>5</w:t>
            </w:r>
            <w:r w:rsidRPr="009A55BC">
              <w:rPr>
                <w:rFonts w:ascii="Times New Roman" w:hAnsi="Times New Roman"/>
                <w:sz w:val="24"/>
                <w:szCs w:val="24"/>
              </w:rPr>
              <w:t>.</w:t>
            </w:r>
          </w:p>
        </w:tc>
      </w:tr>
      <w:tr w:rsidR="00DA47D0" w:rsidRPr="009A55BC" w14:paraId="75FADA97" w14:textId="77777777" w:rsidTr="00DA47D0">
        <w:trPr>
          <w:jc w:val="center"/>
        </w:trPr>
        <w:tc>
          <w:tcPr>
            <w:tcW w:w="988" w:type="dxa"/>
          </w:tcPr>
          <w:p w14:paraId="3AE51B7D" w14:textId="452BE613" w:rsidR="00607814" w:rsidRPr="009A55BC" w:rsidRDefault="009E325F" w:rsidP="009A55BC">
            <w:pPr>
              <w:spacing w:line="240" w:lineRule="auto"/>
              <w:contextualSpacing/>
              <w:rPr>
                <w:rFonts w:ascii="Times New Roman" w:hAnsi="Times New Roman"/>
                <w:sz w:val="24"/>
                <w:szCs w:val="24"/>
              </w:rPr>
            </w:pPr>
            <w:r w:rsidRPr="009A55BC">
              <w:rPr>
                <w:rFonts w:ascii="Times New Roman" w:hAnsi="Times New Roman"/>
                <w:sz w:val="24"/>
                <w:szCs w:val="24"/>
              </w:rPr>
              <w:t>5</w:t>
            </w:r>
            <w:r w:rsidR="00E46133" w:rsidRPr="009A55BC">
              <w:rPr>
                <w:rFonts w:ascii="Times New Roman" w:hAnsi="Times New Roman"/>
                <w:sz w:val="24"/>
                <w:szCs w:val="24"/>
              </w:rPr>
              <w:t>.</w:t>
            </w:r>
            <w:r w:rsidR="00045BE3" w:rsidRPr="009A55BC">
              <w:rPr>
                <w:rFonts w:ascii="Times New Roman" w:hAnsi="Times New Roman"/>
                <w:sz w:val="24"/>
                <w:szCs w:val="24"/>
              </w:rPr>
              <w:t>1</w:t>
            </w:r>
            <w:r w:rsidR="00E46133" w:rsidRPr="009A55BC">
              <w:rPr>
                <w:rFonts w:ascii="Times New Roman" w:hAnsi="Times New Roman"/>
                <w:sz w:val="24"/>
                <w:szCs w:val="24"/>
              </w:rPr>
              <w:t>.</w:t>
            </w:r>
          </w:p>
        </w:tc>
        <w:tc>
          <w:tcPr>
            <w:tcW w:w="1701" w:type="dxa"/>
          </w:tcPr>
          <w:p w14:paraId="025C4B61" w14:textId="77777777" w:rsidR="00607814" w:rsidRPr="009A55BC" w:rsidRDefault="00DA47D0" w:rsidP="009A55BC">
            <w:pPr>
              <w:spacing w:line="240" w:lineRule="auto"/>
              <w:contextualSpacing/>
              <w:rPr>
                <w:rFonts w:ascii="Times New Roman" w:hAnsi="Times New Roman"/>
                <w:sz w:val="24"/>
                <w:szCs w:val="24"/>
              </w:rPr>
            </w:pPr>
            <w:r w:rsidRPr="009A55BC">
              <w:rPr>
                <w:rFonts w:ascii="Times New Roman" w:hAnsi="Times New Roman"/>
                <w:sz w:val="24"/>
                <w:szCs w:val="24"/>
              </w:rPr>
              <w:t xml:space="preserve">Radikālo </w:t>
            </w:r>
            <w:proofErr w:type="spellStart"/>
            <w:r w:rsidRPr="009A55BC">
              <w:rPr>
                <w:rFonts w:ascii="Times New Roman" w:hAnsi="Times New Roman"/>
                <w:sz w:val="24"/>
                <w:szCs w:val="24"/>
              </w:rPr>
              <w:t>mastektomiju</w:t>
            </w:r>
            <w:proofErr w:type="spellEnd"/>
            <w:r w:rsidRPr="009A55BC">
              <w:rPr>
                <w:rFonts w:ascii="Times New Roman" w:hAnsi="Times New Roman"/>
                <w:sz w:val="24"/>
                <w:szCs w:val="24"/>
              </w:rPr>
              <w:t xml:space="preserve"> procentuālais īpatsvars pacientiem ar diagnozi C50 agrīnā vēža stadijā (1.-2. stadija)</w:t>
            </w:r>
          </w:p>
        </w:tc>
        <w:tc>
          <w:tcPr>
            <w:tcW w:w="850" w:type="dxa"/>
            <w:shd w:val="clear" w:color="auto" w:fill="FFFFFF" w:themeFill="background1"/>
            <w:vAlign w:val="center"/>
          </w:tcPr>
          <w:p w14:paraId="29C467DC"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25% un vairāk</w:t>
            </w:r>
          </w:p>
        </w:tc>
        <w:tc>
          <w:tcPr>
            <w:tcW w:w="851" w:type="dxa"/>
            <w:shd w:val="clear" w:color="auto" w:fill="FFFFFF" w:themeFill="background1"/>
            <w:vAlign w:val="center"/>
          </w:tcPr>
          <w:p w14:paraId="6ED12F6C"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25% un vairāk</w:t>
            </w:r>
          </w:p>
        </w:tc>
        <w:tc>
          <w:tcPr>
            <w:tcW w:w="850" w:type="dxa"/>
            <w:shd w:val="clear" w:color="auto" w:fill="FFFFFF" w:themeFill="background1"/>
            <w:vAlign w:val="center"/>
          </w:tcPr>
          <w:p w14:paraId="6A154488"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25% un vairāk</w:t>
            </w:r>
          </w:p>
        </w:tc>
        <w:tc>
          <w:tcPr>
            <w:tcW w:w="851" w:type="dxa"/>
            <w:shd w:val="clear" w:color="auto" w:fill="FFFFFF" w:themeFill="background1"/>
            <w:vAlign w:val="center"/>
          </w:tcPr>
          <w:p w14:paraId="4CF310D0"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16%-24%</w:t>
            </w:r>
          </w:p>
        </w:tc>
        <w:tc>
          <w:tcPr>
            <w:tcW w:w="850" w:type="dxa"/>
            <w:shd w:val="clear" w:color="auto" w:fill="FFFFFF" w:themeFill="background1"/>
            <w:vAlign w:val="center"/>
          </w:tcPr>
          <w:p w14:paraId="23D8DB9F"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16%-24%</w:t>
            </w:r>
          </w:p>
        </w:tc>
        <w:tc>
          <w:tcPr>
            <w:tcW w:w="851" w:type="dxa"/>
            <w:shd w:val="clear" w:color="auto" w:fill="FFFFFF" w:themeFill="background1"/>
            <w:vAlign w:val="center"/>
          </w:tcPr>
          <w:p w14:paraId="516E375B"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16%-24%</w:t>
            </w:r>
          </w:p>
        </w:tc>
        <w:tc>
          <w:tcPr>
            <w:tcW w:w="850" w:type="dxa"/>
            <w:shd w:val="clear" w:color="auto" w:fill="FFFFFF" w:themeFill="background1"/>
            <w:vAlign w:val="center"/>
          </w:tcPr>
          <w:p w14:paraId="0C4E7AAC"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15%</w:t>
            </w:r>
          </w:p>
        </w:tc>
        <w:tc>
          <w:tcPr>
            <w:tcW w:w="851" w:type="dxa"/>
            <w:shd w:val="clear" w:color="auto" w:fill="FFFFFF" w:themeFill="background1"/>
            <w:vAlign w:val="center"/>
          </w:tcPr>
          <w:p w14:paraId="39C4DF71"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15%</w:t>
            </w:r>
          </w:p>
        </w:tc>
        <w:tc>
          <w:tcPr>
            <w:tcW w:w="850" w:type="dxa"/>
            <w:shd w:val="clear" w:color="auto" w:fill="FFFFFF" w:themeFill="background1"/>
            <w:vAlign w:val="center"/>
          </w:tcPr>
          <w:p w14:paraId="50BCCC6A"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15%</w:t>
            </w:r>
          </w:p>
        </w:tc>
      </w:tr>
      <w:tr w:rsidR="00DA47D0" w:rsidRPr="009A55BC" w14:paraId="4269DDD5" w14:textId="77777777" w:rsidTr="00DA47D0">
        <w:trPr>
          <w:jc w:val="center"/>
        </w:trPr>
        <w:tc>
          <w:tcPr>
            <w:tcW w:w="988" w:type="dxa"/>
          </w:tcPr>
          <w:p w14:paraId="33A0DC20" w14:textId="15217B1F" w:rsidR="00607814" w:rsidRPr="009A55BC" w:rsidRDefault="009E325F"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w:t>
            </w:r>
            <w:r w:rsidR="00E46133" w:rsidRPr="009A55BC">
              <w:rPr>
                <w:rFonts w:ascii="Times New Roman" w:hAnsi="Times New Roman"/>
                <w:sz w:val="24"/>
                <w:szCs w:val="24"/>
              </w:rPr>
              <w:t>.</w:t>
            </w:r>
            <w:r w:rsidR="00045BE3" w:rsidRPr="009A55BC">
              <w:rPr>
                <w:rFonts w:ascii="Times New Roman" w:hAnsi="Times New Roman"/>
                <w:sz w:val="24"/>
                <w:szCs w:val="24"/>
              </w:rPr>
              <w:t>2</w:t>
            </w:r>
            <w:r w:rsidR="00E46133" w:rsidRPr="009A55BC">
              <w:rPr>
                <w:rFonts w:ascii="Times New Roman" w:hAnsi="Times New Roman"/>
                <w:sz w:val="24"/>
                <w:szCs w:val="24"/>
              </w:rPr>
              <w:t>.</w:t>
            </w:r>
          </w:p>
        </w:tc>
        <w:tc>
          <w:tcPr>
            <w:tcW w:w="1701" w:type="dxa"/>
          </w:tcPr>
          <w:p w14:paraId="3D298879" w14:textId="1B89EACB" w:rsidR="00607814" w:rsidRPr="009A55BC" w:rsidRDefault="00903ACE" w:rsidP="009A55BC">
            <w:pPr>
              <w:pStyle w:val="ListParagraph"/>
              <w:spacing w:line="240" w:lineRule="auto"/>
              <w:ind w:left="0"/>
              <w:rPr>
                <w:rFonts w:ascii="Times New Roman" w:hAnsi="Times New Roman"/>
                <w:color w:val="FF0000"/>
                <w:sz w:val="24"/>
                <w:szCs w:val="24"/>
              </w:rPr>
            </w:pPr>
            <w:r w:rsidRPr="009A55BC">
              <w:rPr>
                <w:rFonts w:ascii="Times New Roman" w:hAnsi="Times New Roman"/>
                <w:sz w:val="24"/>
                <w:szCs w:val="24"/>
              </w:rPr>
              <w:t>Ārstniecības iestādē veikto stacionāro plānveida un neatliekamo onkoloģisko operāciju, kuras veic ārstniecības personas, kuras  izpilda 1.pielikumā noteiktos apjomus, skaita procentuālais īpatsvars no visām ārstniecības iestādē veiktajām stacionārajām plānveida un neatliekamām onkoloģiskām operācijām dalījumā pa diagnozēm</w:t>
            </w:r>
            <w:r w:rsidR="00347F27" w:rsidRPr="009A55BC">
              <w:rPr>
                <w:rFonts w:ascii="Times New Roman" w:hAnsi="Times New Roman"/>
                <w:sz w:val="24"/>
                <w:szCs w:val="24"/>
              </w:rPr>
              <w:t xml:space="preserve">, atbilstoši 1.pielikumam.  </w:t>
            </w:r>
            <w:r w:rsidR="009430D7" w:rsidRPr="009A55BC">
              <w:rPr>
                <w:rFonts w:ascii="Times New Roman" w:hAnsi="Times New Roman"/>
                <w:sz w:val="24"/>
                <w:szCs w:val="24"/>
              </w:rPr>
              <w:t xml:space="preserve"> </w:t>
            </w:r>
          </w:p>
        </w:tc>
        <w:tc>
          <w:tcPr>
            <w:tcW w:w="850" w:type="dxa"/>
            <w:shd w:val="clear" w:color="auto" w:fill="FFFFFF" w:themeFill="background1"/>
            <w:vAlign w:val="center"/>
          </w:tcPr>
          <w:p w14:paraId="7D65636B"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59%</w:t>
            </w:r>
          </w:p>
        </w:tc>
        <w:tc>
          <w:tcPr>
            <w:tcW w:w="851" w:type="dxa"/>
            <w:shd w:val="clear" w:color="auto" w:fill="FFFFFF" w:themeFill="background1"/>
            <w:vAlign w:val="center"/>
          </w:tcPr>
          <w:p w14:paraId="35A3FB6E"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59%</w:t>
            </w:r>
          </w:p>
        </w:tc>
        <w:tc>
          <w:tcPr>
            <w:tcW w:w="850" w:type="dxa"/>
            <w:shd w:val="clear" w:color="auto" w:fill="FFFFFF" w:themeFill="background1"/>
            <w:vAlign w:val="center"/>
          </w:tcPr>
          <w:p w14:paraId="6EF172AA"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59%</w:t>
            </w:r>
          </w:p>
        </w:tc>
        <w:tc>
          <w:tcPr>
            <w:tcW w:w="851" w:type="dxa"/>
            <w:shd w:val="clear" w:color="auto" w:fill="FFFFFF" w:themeFill="background1"/>
            <w:vAlign w:val="center"/>
          </w:tcPr>
          <w:p w14:paraId="3FC8DD71"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60%-79%</w:t>
            </w:r>
          </w:p>
        </w:tc>
        <w:tc>
          <w:tcPr>
            <w:tcW w:w="850" w:type="dxa"/>
            <w:shd w:val="clear" w:color="auto" w:fill="FFFFFF" w:themeFill="background1"/>
            <w:vAlign w:val="center"/>
          </w:tcPr>
          <w:p w14:paraId="17E4114B"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60%-79%</w:t>
            </w:r>
          </w:p>
        </w:tc>
        <w:tc>
          <w:tcPr>
            <w:tcW w:w="851" w:type="dxa"/>
            <w:shd w:val="clear" w:color="auto" w:fill="FFFFFF" w:themeFill="background1"/>
            <w:vAlign w:val="center"/>
          </w:tcPr>
          <w:p w14:paraId="23782A89"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60%-79%</w:t>
            </w:r>
          </w:p>
        </w:tc>
        <w:tc>
          <w:tcPr>
            <w:tcW w:w="850" w:type="dxa"/>
            <w:shd w:val="clear" w:color="auto" w:fill="FFFFFF" w:themeFill="background1"/>
            <w:vAlign w:val="center"/>
          </w:tcPr>
          <w:p w14:paraId="54049DC3"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80% un vairāk</w:t>
            </w:r>
          </w:p>
        </w:tc>
        <w:tc>
          <w:tcPr>
            <w:tcW w:w="851" w:type="dxa"/>
            <w:shd w:val="clear" w:color="auto" w:fill="FFFFFF" w:themeFill="background1"/>
            <w:vAlign w:val="center"/>
          </w:tcPr>
          <w:p w14:paraId="5025336E"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80% un vairāk</w:t>
            </w:r>
          </w:p>
        </w:tc>
        <w:tc>
          <w:tcPr>
            <w:tcW w:w="850" w:type="dxa"/>
            <w:shd w:val="clear" w:color="auto" w:fill="FFFFFF" w:themeFill="background1"/>
            <w:vAlign w:val="center"/>
          </w:tcPr>
          <w:p w14:paraId="3E32EAE3" w14:textId="77777777" w:rsidR="00607814" w:rsidRPr="009A55BC" w:rsidRDefault="00607814"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80% un vairāk</w:t>
            </w:r>
          </w:p>
        </w:tc>
      </w:tr>
      <w:tr w:rsidR="007C236F" w:rsidRPr="009A55BC" w14:paraId="10896A02" w14:textId="77777777" w:rsidTr="00DA47D0">
        <w:trPr>
          <w:jc w:val="center"/>
        </w:trPr>
        <w:tc>
          <w:tcPr>
            <w:tcW w:w="988" w:type="dxa"/>
          </w:tcPr>
          <w:p w14:paraId="72700646" w14:textId="1B3F2590" w:rsidR="007C236F" w:rsidRPr="009A55BC" w:rsidRDefault="007C236F"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5.3.</w:t>
            </w:r>
          </w:p>
        </w:tc>
        <w:tc>
          <w:tcPr>
            <w:tcW w:w="1701" w:type="dxa"/>
          </w:tcPr>
          <w:p w14:paraId="4EAD99B9" w14:textId="7C51221A" w:rsidR="007C236F" w:rsidRPr="009A55BC" w:rsidRDefault="007C236F"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Ķirurģiski ārstēto </w:t>
            </w:r>
            <w:r w:rsidRPr="009A55BC">
              <w:rPr>
                <w:rFonts w:ascii="Times New Roman" w:hAnsi="Times New Roman"/>
                <w:sz w:val="24"/>
                <w:szCs w:val="24"/>
              </w:rPr>
              <w:lastRenderedPageBreak/>
              <w:t xml:space="preserve">onkoloģisko plānveida pacientu procentuālais īpatsvars, kuru  stacionārā uzskaites dokumentā norādīta komplikāciju manipulācija (pēc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klasifikācijas sistēmas3)</w:t>
            </w:r>
          </w:p>
        </w:tc>
        <w:tc>
          <w:tcPr>
            <w:tcW w:w="850" w:type="dxa"/>
          </w:tcPr>
          <w:p w14:paraId="74EF366E" w14:textId="77777777" w:rsidR="007C236F" w:rsidRPr="009A55BC" w:rsidRDefault="007C236F" w:rsidP="009A55BC">
            <w:pPr>
              <w:spacing w:line="240" w:lineRule="auto"/>
              <w:contextualSpacing/>
              <w:jc w:val="center"/>
              <w:rPr>
                <w:rFonts w:ascii="Times New Roman" w:hAnsi="Times New Roman"/>
                <w:sz w:val="24"/>
                <w:szCs w:val="24"/>
              </w:rPr>
            </w:pPr>
          </w:p>
          <w:p w14:paraId="18080D34" w14:textId="77777777"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līdz 70%</w:t>
            </w:r>
          </w:p>
        </w:tc>
        <w:tc>
          <w:tcPr>
            <w:tcW w:w="851" w:type="dxa"/>
          </w:tcPr>
          <w:p w14:paraId="07EF4575" w14:textId="77777777" w:rsidR="007C236F" w:rsidRPr="009A55BC" w:rsidRDefault="007C236F" w:rsidP="009A55BC">
            <w:pPr>
              <w:spacing w:line="240" w:lineRule="auto"/>
              <w:contextualSpacing/>
              <w:jc w:val="center"/>
              <w:rPr>
                <w:rFonts w:ascii="Times New Roman" w:hAnsi="Times New Roman"/>
                <w:sz w:val="24"/>
                <w:szCs w:val="24"/>
              </w:rPr>
            </w:pPr>
          </w:p>
          <w:p w14:paraId="01484A83" w14:textId="77777777"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līdz 70%</w:t>
            </w:r>
          </w:p>
        </w:tc>
        <w:tc>
          <w:tcPr>
            <w:tcW w:w="850" w:type="dxa"/>
          </w:tcPr>
          <w:p w14:paraId="4D5F2F1F" w14:textId="77777777" w:rsidR="007C236F" w:rsidRPr="009A55BC" w:rsidRDefault="007C236F" w:rsidP="009A55BC">
            <w:pPr>
              <w:spacing w:line="240" w:lineRule="auto"/>
              <w:contextualSpacing/>
              <w:jc w:val="center"/>
              <w:rPr>
                <w:rFonts w:ascii="Times New Roman" w:hAnsi="Times New Roman"/>
                <w:sz w:val="24"/>
                <w:szCs w:val="24"/>
              </w:rPr>
            </w:pPr>
          </w:p>
          <w:p w14:paraId="579FA68E" w14:textId="77777777"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līdz 70%</w:t>
            </w:r>
          </w:p>
        </w:tc>
        <w:tc>
          <w:tcPr>
            <w:tcW w:w="851" w:type="dxa"/>
          </w:tcPr>
          <w:p w14:paraId="3F0B9EA0" w14:textId="77777777" w:rsidR="003664A8" w:rsidRPr="009A55BC" w:rsidRDefault="003664A8" w:rsidP="009A55BC">
            <w:pPr>
              <w:spacing w:line="240" w:lineRule="auto"/>
              <w:contextualSpacing/>
              <w:jc w:val="center"/>
              <w:rPr>
                <w:rFonts w:ascii="Times New Roman" w:hAnsi="Times New Roman"/>
                <w:sz w:val="24"/>
                <w:szCs w:val="24"/>
              </w:rPr>
            </w:pPr>
          </w:p>
          <w:p w14:paraId="0F302DA8" w14:textId="60A54316"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71% -89%</w:t>
            </w:r>
          </w:p>
        </w:tc>
        <w:tc>
          <w:tcPr>
            <w:tcW w:w="850" w:type="dxa"/>
          </w:tcPr>
          <w:p w14:paraId="62FA5DCD" w14:textId="77777777" w:rsidR="003664A8" w:rsidRPr="009A55BC" w:rsidRDefault="003664A8" w:rsidP="009A55BC">
            <w:pPr>
              <w:spacing w:line="240" w:lineRule="auto"/>
              <w:contextualSpacing/>
              <w:jc w:val="center"/>
              <w:rPr>
                <w:rFonts w:ascii="Times New Roman" w:hAnsi="Times New Roman"/>
                <w:sz w:val="24"/>
                <w:szCs w:val="24"/>
              </w:rPr>
            </w:pPr>
          </w:p>
          <w:p w14:paraId="27C4A6AF" w14:textId="3BD12EBA"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71% -89%</w:t>
            </w:r>
          </w:p>
        </w:tc>
        <w:tc>
          <w:tcPr>
            <w:tcW w:w="851" w:type="dxa"/>
          </w:tcPr>
          <w:p w14:paraId="626A5702" w14:textId="77777777" w:rsidR="003664A8" w:rsidRPr="009A55BC" w:rsidRDefault="003664A8" w:rsidP="009A55BC">
            <w:pPr>
              <w:spacing w:line="240" w:lineRule="auto"/>
              <w:contextualSpacing/>
              <w:jc w:val="center"/>
              <w:rPr>
                <w:rFonts w:ascii="Times New Roman" w:hAnsi="Times New Roman"/>
                <w:sz w:val="24"/>
                <w:szCs w:val="24"/>
              </w:rPr>
            </w:pPr>
          </w:p>
          <w:p w14:paraId="06DE53A4" w14:textId="39ED5F35"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71% -89%</w:t>
            </w:r>
          </w:p>
        </w:tc>
        <w:tc>
          <w:tcPr>
            <w:tcW w:w="850" w:type="dxa"/>
          </w:tcPr>
          <w:p w14:paraId="1A3B6F2E" w14:textId="77777777" w:rsidR="007C236F" w:rsidRPr="009A55BC" w:rsidRDefault="007C236F" w:rsidP="009A55BC">
            <w:pPr>
              <w:spacing w:line="240" w:lineRule="auto"/>
              <w:contextualSpacing/>
              <w:jc w:val="center"/>
              <w:rPr>
                <w:rFonts w:ascii="Times New Roman" w:hAnsi="Times New Roman"/>
                <w:sz w:val="24"/>
                <w:szCs w:val="24"/>
              </w:rPr>
            </w:pPr>
          </w:p>
          <w:p w14:paraId="7524FED1" w14:textId="54177B58"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90% un vairāk</w:t>
            </w:r>
          </w:p>
        </w:tc>
        <w:tc>
          <w:tcPr>
            <w:tcW w:w="851" w:type="dxa"/>
          </w:tcPr>
          <w:p w14:paraId="1596CEB6" w14:textId="77777777" w:rsidR="003664A8" w:rsidRPr="009A55BC" w:rsidRDefault="003664A8" w:rsidP="009A55BC">
            <w:pPr>
              <w:spacing w:line="240" w:lineRule="auto"/>
              <w:contextualSpacing/>
              <w:jc w:val="center"/>
              <w:rPr>
                <w:rFonts w:ascii="Times New Roman" w:hAnsi="Times New Roman"/>
                <w:sz w:val="24"/>
                <w:szCs w:val="24"/>
              </w:rPr>
            </w:pPr>
          </w:p>
          <w:p w14:paraId="565404EA" w14:textId="2498D101"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90% un vairāk</w:t>
            </w:r>
          </w:p>
        </w:tc>
        <w:tc>
          <w:tcPr>
            <w:tcW w:w="850" w:type="dxa"/>
          </w:tcPr>
          <w:p w14:paraId="624DD533" w14:textId="77777777" w:rsidR="003664A8" w:rsidRPr="009A55BC" w:rsidRDefault="003664A8" w:rsidP="009A55BC">
            <w:pPr>
              <w:spacing w:line="240" w:lineRule="auto"/>
              <w:contextualSpacing/>
              <w:jc w:val="center"/>
              <w:rPr>
                <w:rFonts w:ascii="Times New Roman" w:hAnsi="Times New Roman"/>
                <w:sz w:val="24"/>
                <w:szCs w:val="24"/>
              </w:rPr>
            </w:pPr>
          </w:p>
          <w:p w14:paraId="64B50B8F" w14:textId="5584CA32"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lastRenderedPageBreak/>
              <w:t>90% un vairāk</w:t>
            </w:r>
          </w:p>
        </w:tc>
      </w:tr>
      <w:tr w:rsidR="007C236F" w:rsidRPr="009A55BC" w14:paraId="56AA9AC0" w14:textId="77777777" w:rsidTr="00DA47D0">
        <w:trPr>
          <w:jc w:val="center"/>
        </w:trPr>
        <w:tc>
          <w:tcPr>
            <w:tcW w:w="988" w:type="dxa"/>
          </w:tcPr>
          <w:p w14:paraId="02B48847" w14:textId="2CBA3BC9" w:rsidR="007C236F" w:rsidRPr="009A55BC" w:rsidRDefault="007C236F" w:rsidP="009A55BC">
            <w:pPr>
              <w:spacing w:line="240" w:lineRule="auto"/>
              <w:contextualSpacing/>
              <w:rPr>
                <w:rFonts w:ascii="Times New Roman" w:hAnsi="Times New Roman"/>
                <w:sz w:val="24"/>
                <w:szCs w:val="24"/>
              </w:rPr>
            </w:pPr>
            <w:r w:rsidRPr="009A55BC">
              <w:rPr>
                <w:rFonts w:ascii="Times New Roman" w:hAnsi="Times New Roman"/>
                <w:sz w:val="24"/>
                <w:szCs w:val="24"/>
              </w:rPr>
              <w:lastRenderedPageBreak/>
              <w:t>5.4.</w:t>
            </w:r>
          </w:p>
        </w:tc>
        <w:tc>
          <w:tcPr>
            <w:tcW w:w="1701" w:type="dxa"/>
          </w:tcPr>
          <w:p w14:paraId="62DCAC16" w14:textId="6D7C0573" w:rsidR="007C236F" w:rsidRPr="009A55BC" w:rsidRDefault="007C236F"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Unikālo pacientu skaita procentuālais īpatsvars, kuri saņēmuši plānveida onkoloģisko ķirurģisko ārstēšanu</w:t>
            </w:r>
            <w:r w:rsidR="000256DB" w:rsidRPr="009A55BC">
              <w:rPr>
                <w:rFonts w:ascii="Times New Roman" w:hAnsi="Times New Roman"/>
                <w:sz w:val="24"/>
                <w:szCs w:val="24"/>
              </w:rPr>
              <w:t xml:space="preserve"> ( pie auss, deguna un balsenes, un ādas ļaundabīgajiem audzējiem arī ambulatorie pakalpojumi un dienas stacionāra pakalpojumi)</w:t>
            </w:r>
            <w:r w:rsidRPr="009A55BC">
              <w:rPr>
                <w:rFonts w:ascii="Times New Roman" w:hAnsi="Times New Roman"/>
                <w:sz w:val="24"/>
                <w:szCs w:val="24"/>
              </w:rPr>
              <w:t xml:space="preserve">   28 dienu laikā pēc ambulatorā vai stacionārā konsīlija (terapijas taktikas pieņemšana) diagnozēs</w:t>
            </w:r>
            <w:r w:rsidR="000C0B72" w:rsidRPr="009A55BC">
              <w:rPr>
                <w:rFonts w:ascii="Times New Roman" w:hAnsi="Times New Roman"/>
                <w:sz w:val="24"/>
                <w:szCs w:val="24"/>
              </w:rPr>
              <w:t xml:space="preserve"> C00–C97, D00–D09, D37–D48 un D61</w:t>
            </w:r>
            <w:r w:rsidR="009430D7" w:rsidRPr="009A55BC">
              <w:rPr>
                <w:rFonts w:ascii="Times New Roman" w:hAnsi="Times New Roman"/>
                <w:sz w:val="24"/>
                <w:szCs w:val="24"/>
              </w:rPr>
              <w:t xml:space="preserve">.  </w:t>
            </w:r>
          </w:p>
        </w:tc>
        <w:tc>
          <w:tcPr>
            <w:tcW w:w="850" w:type="dxa"/>
          </w:tcPr>
          <w:p w14:paraId="46C2ACD9" w14:textId="77777777" w:rsidR="007C236F" w:rsidRPr="009A55BC" w:rsidRDefault="007C236F" w:rsidP="009A55BC">
            <w:pPr>
              <w:spacing w:line="240" w:lineRule="auto"/>
              <w:contextualSpacing/>
              <w:jc w:val="center"/>
              <w:rPr>
                <w:rFonts w:ascii="Times New Roman" w:hAnsi="Times New Roman"/>
                <w:sz w:val="24"/>
                <w:szCs w:val="24"/>
              </w:rPr>
            </w:pPr>
          </w:p>
          <w:p w14:paraId="356DDE0B" w14:textId="77777777"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70%</w:t>
            </w:r>
          </w:p>
        </w:tc>
        <w:tc>
          <w:tcPr>
            <w:tcW w:w="851" w:type="dxa"/>
          </w:tcPr>
          <w:p w14:paraId="52EC2456" w14:textId="77777777" w:rsidR="007C236F" w:rsidRPr="009A55BC" w:rsidRDefault="007C236F" w:rsidP="009A55BC">
            <w:pPr>
              <w:spacing w:line="240" w:lineRule="auto"/>
              <w:contextualSpacing/>
              <w:jc w:val="center"/>
              <w:rPr>
                <w:rFonts w:ascii="Times New Roman" w:hAnsi="Times New Roman"/>
                <w:sz w:val="24"/>
                <w:szCs w:val="24"/>
              </w:rPr>
            </w:pPr>
          </w:p>
          <w:p w14:paraId="483AD700" w14:textId="77777777"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70%</w:t>
            </w:r>
          </w:p>
        </w:tc>
        <w:tc>
          <w:tcPr>
            <w:tcW w:w="850" w:type="dxa"/>
          </w:tcPr>
          <w:p w14:paraId="1456FA16" w14:textId="77777777" w:rsidR="007C236F" w:rsidRPr="009A55BC" w:rsidRDefault="007C236F" w:rsidP="009A55BC">
            <w:pPr>
              <w:spacing w:line="240" w:lineRule="auto"/>
              <w:contextualSpacing/>
              <w:jc w:val="center"/>
              <w:rPr>
                <w:rFonts w:ascii="Times New Roman" w:hAnsi="Times New Roman"/>
                <w:sz w:val="24"/>
                <w:szCs w:val="24"/>
              </w:rPr>
            </w:pPr>
          </w:p>
          <w:p w14:paraId="67C4E4B9" w14:textId="77777777"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70%</w:t>
            </w:r>
          </w:p>
        </w:tc>
        <w:tc>
          <w:tcPr>
            <w:tcW w:w="851" w:type="dxa"/>
          </w:tcPr>
          <w:p w14:paraId="10C57AF9" w14:textId="77777777" w:rsidR="003664A8" w:rsidRPr="009A55BC" w:rsidRDefault="003664A8" w:rsidP="009A55BC">
            <w:pPr>
              <w:spacing w:line="240" w:lineRule="auto"/>
              <w:contextualSpacing/>
              <w:jc w:val="center"/>
              <w:rPr>
                <w:rFonts w:ascii="Times New Roman" w:hAnsi="Times New Roman"/>
                <w:sz w:val="24"/>
                <w:szCs w:val="24"/>
              </w:rPr>
            </w:pPr>
          </w:p>
          <w:p w14:paraId="733AE9FD" w14:textId="5EF8FB17"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71% -89%</w:t>
            </w:r>
          </w:p>
        </w:tc>
        <w:tc>
          <w:tcPr>
            <w:tcW w:w="850" w:type="dxa"/>
          </w:tcPr>
          <w:p w14:paraId="6650F375" w14:textId="77777777" w:rsidR="003664A8" w:rsidRPr="009A55BC" w:rsidRDefault="003664A8" w:rsidP="009A55BC">
            <w:pPr>
              <w:spacing w:line="240" w:lineRule="auto"/>
              <w:contextualSpacing/>
              <w:jc w:val="center"/>
              <w:rPr>
                <w:rFonts w:ascii="Times New Roman" w:hAnsi="Times New Roman"/>
                <w:sz w:val="24"/>
                <w:szCs w:val="24"/>
              </w:rPr>
            </w:pPr>
          </w:p>
          <w:p w14:paraId="5AC2CF92" w14:textId="030B5F3A"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71% -89%</w:t>
            </w:r>
          </w:p>
        </w:tc>
        <w:tc>
          <w:tcPr>
            <w:tcW w:w="851" w:type="dxa"/>
          </w:tcPr>
          <w:p w14:paraId="617C916A" w14:textId="77777777" w:rsidR="003664A8" w:rsidRPr="009A55BC" w:rsidRDefault="003664A8" w:rsidP="009A55BC">
            <w:pPr>
              <w:spacing w:line="240" w:lineRule="auto"/>
              <w:contextualSpacing/>
              <w:jc w:val="center"/>
              <w:rPr>
                <w:rFonts w:ascii="Times New Roman" w:hAnsi="Times New Roman"/>
                <w:sz w:val="24"/>
                <w:szCs w:val="24"/>
              </w:rPr>
            </w:pPr>
          </w:p>
          <w:p w14:paraId="29B04E8D" w14:textId="4A98C2F8"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71% -89%</w:t>
            </w:r>
          </w:p>
        </w:tc>
        <w:tc>
          <w:tcPr>
            <w:tcW w:w="850" w:type="dxa"/>
          </w:tcPr>
          <w:p w14:paraId="69616C19" w14:textId="77777777" w:rsidR="003664A8" w:rsidRPr="009A55BC" w:rsidRDefault="003664A8" w:rsidP="009A55BC">
            <w:pPr>
              <w:spacing w:line="240" w:lineRule="auto"/>
              <w:contextualSpacing/>
              <w:jc w:val="center"/>
              <w:rPr>
                <w:rFonts w:ascii="Times New Roman" w:hAnsi="Times New Roman"/>
                <w:sz w:val="24"/>
                <w:szCs w:val="24"/>
              </w:rPr>
            </w:pPr>
          </w:p>
          <w:p w14:paraId="182E2A2D" w14:textId="02E369E0"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90% un vairāk</w:t>
            </w:r>
          </w:p>
        </w:tc>
        <w:tc>
          <w:tcPr>
            <w:tcW w:w="851" w:type="dxa"/>
          </w:tcPr>
          <w:p w14:paraId="265D1AC3" w14:textId="77777777" w:rsidR="003664A8" w:rsidRPr="009A55BC" w:rsidRDefault="003664A8" w:rsidP="009A55BC">
            <w:pPr>
              <w:spacing w:line="240" w:lineRule="auto"/>
              <w:contextualSpacing/>
              <w:jc w:val="center"/>
              <w:rPr>
                <w:rFonts w:ascii="Times New Roman" w:hAnsi="Times New Roman"/>
                <w:sz w:val="24"/>
                <w:szCs w:val="24"/>
              </w:rPr>
            </w:pPr>
          </w:p>
          <w:p w14:paraId="3F6547BC" w14:textId="597CDDFD"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90% un vairāk</w:t>
            </w:r>
          </w:p>
        </w:tc>
        <w:tc>
          <w:tcPr>
            <w:tcW w:w="850" w:type="dxa"/>
          </w:tcPr>
          <w:p w14:paraId="77FCA92D" w14:textId="77777777" w:rsidR="003664A8" w:rsidRPr="009A55BC" w:rsidRDefault="003664A8" w:rsidP="009A55BC">
            <w:pPr>
              <w:spacing w:line="240" w:lineRule="auto"/>
              <w:contextualSpacing/>
              <w:jc w:val="center"/>
              <w:rPr>
                <w:rFonts w:ascii="Times New Roman" w:hAnsi="Times New Roman"/>
                <w:sz w:val="24"/>
                <w:szCs w:val="24"/>
              </w:rPr>
            </w:pPr>
          </w:p>
          <w:p w14:paraId="11ADE158" w14:textId="5CD87B3D" w:rsidR="007C236F" w:rsidRPr="009A55BC" w:rsidRDefault="007C236F"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90% un vairāk</w:t>
            </w:r>
          </w:p>
        </w:tc>
      </w:tr>
      <w:tr w:rsidR="005B5BDC" w:rsidRPr="009A55BC" w14:paraId="43040B9D" w14:textId="77777777" w:rsidTr="00DA47D0">
        <w:trPr>
          <w:jc w:val="center"/>
        </w:trPr>
        <w:tc>
          <w:tcPr>
            <w:tcW w:w="988" w:type="dxa"/>
          </w:tcPr>
          <w:p w14:paraId="69FF90EA" w14:textId="7B4755C1" w:rsidR="005B5BDC" w:rsidRPr="009A55BC" w:rsidRDefault="005B5BDC"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5.5.</w:t>
            </w:r>
          </w:p>
        </w:tc>
        <w:tc>
          <w:tcPr>
            <w:tcW w:w="1701" w:type="dxa"/>
          </w:tcPr>
          <w:p w14:paraId="0C6740B2" w14:textId="5C3A6681" w:rsidR="005B5BDC" w:rsidRPr="009A55BC" w:rsidRDefault="005B5BDC"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Pacientu sūdzību, procentuālais īpatsvars no kopējā </w:t>
            </w:r>
            <w:r w:rsidRPr="009A55BC">
              <w:rPr>
                <w:rFonts w:ascii="Times New Roman" w:hAnsi="Times New Roman"/>
                <w:sz w:val="24"/>
                <w:szCs w:val="24"/>
              </w:rPr>
              <w:lastRenderedPageBreak/>
              <w:t>pakalpojumu skaita</w:t>
            </w:r>
          </w:p>
        </w:tc>
        <w:tc>
          <w:tcPr>
            <w:tcW w:w="850" w:type="dxa"/>
          </w:tcPr>
          <w:p w14:paraId="70299E6A" w14:textId="0F53A50F"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lastRenderedPageBreak/>
              <w:t>5% un vairāk</w:t>
            </w:r>
          </w:p>
        </w:tc>
        <w:tc>
          <w:tcPr>
            <w:tcW w:w="851" w:type="dxa"/>
          </w:tcPr>
          <w:p w14:paraId="07AF39BA" w14:textId="43F0F892"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5% un vairāk</w:t>
            </w:r>
          </w:p>
        </w:tc>
        <w:tc>
          <w:tcPr>
            <w:tcW w:w="850" w:type="dxa"/>
          </w:tcPr>
          <w:p w14:paraId="684659BA" w14:textId="7F08B70D"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5% un vairāk</w:t>
            </w:r>
          </w:p>
        </w:tc>
        <w:tc>
          <w:tcPr>
            <w:tcW w:w="851" w:type="dxa"/>
          </w:tcPr>
          <w:p w14:paraId="6DED2782" w14:textId="3660DE05"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2% - 4%</w:t>
            </w:r>
          </w:p>
        </w:tc>
        <w:tc>
          <w:tcPr>
            <w:tcW w:w="850" w:type="dxa"/>
          </w:tcPr>
          <w:p w14:paraId="3E11987E" w14:textId="3D5162A0"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2% - 4%</w:t>
            </w:r>
          </w:p>
        </w:tc>
        <w:tc>
          <w:tcPr>
            <w:tcW w:w="851" w:type="dxa"/>
          </w:tcPr>
          <w:p w14:paraId="4413F3C3" w14:textId="1EACE3C9"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2% - 4%</w:t>
            </w:r>
          </w:p>
        </w:tc>
        <w:tc>
          <w:tcPr>
            <w:tcW w:w="850" w:type="dxa"/>
          </w:tcPr>
          <w:p w14:paraId="4C7B5F73" w14:textId="06F9AFA2"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 xml:space="preserve">līdz 1% </w:t>
            </w:r>
          </w:p>
        </w:tc>
        <w:tc>
          <w:tcPr>
            <w:tcW w:w="851" w:type="dxa"/>
          </w:tcPr>
          <w:p w14:paraId="34098FED" w14:textId="4EBFEC04"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 xml:space="preserve">līdz 1% </w:t>
            </w:r>
          </w:p>
        </w:tc>
        <w:tc>
          <w:tcPr>
            <w:tcW w:w="850" w:type="dxa"/>
          </w:tcPr>
          <w:p w14:paraId="6DE34612" w14:textId="4B221ACA" w:rsidR="005B5BDC" w:rsidRPr="009A55BC" w:rsidRDefault="005B5BDC"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 xml:space="preserve">līdz 1% </w:t>
            </w:r>
          </w:p>
        </w:tc>
      </w:tr>
    </w:tbl>
    <w:p w14:paraId="197A0AE2" w14:textId="77777777" w:rsidR="00CB471C" w:rsidRPr="009A55BC" w:rsidRDefault="00CB471C" w:rsidP="009A55BC">
      <w:pPr>
        <w:pStyle w:val="tv213"/>
        <w:spacing w:before="0" w:beforeAutospacing="0" w:after="0" w:afterAutospacing="0"/>
        <w:jc w:val="both"/>
      </w:pPr>
    </w:p>
    <w:p w14:paraId="7099C797" w14:textId="396F037C" w:rsidR="005D7B31" w:rsidRPr="009A55BC" w:rsidRDefault="009E325F" w:rsidP="009A55BC">
      <w:pPr>
        <w:pStyle w:val="tv213"/>
        <w:spacing w:before="0" w:beforeAutospacing="0" w:after="0" w:afterAutospacing="0"/>
        <w:jc w:val="right"/>
      </w:pPr>
      <w:r w:rsidRPr="009A55BC">
        <w:t>1.pielikums</w:t>
      </w:r>
    </w:p>
    <w:p w14:paraId="74C122D0" w14:textId="77777777" w:rsidR="009A55BC" w:rsidRPr="009A55BC" w:rsidRDefault="009A55BC" w:rsidP="009A55BC">
      <w:pPr>
        <w:pStyle w:val="tv213"/>
        <w:spacing w:before="0" w:beforeAutospacing="0" w:after="0" w:afterAutospacing="0"/>
        <w:jc w:val="center"/>
      </w:pPr>
    </w:p>
    <w:p w14:paraId="72E56B82" w14:textId="56D998A0" w:rsidR="00BB28D5" w:rsidRPr="009A55BC" w:rsidRDefault="00BB28D5" w:rsidP="009A55BC">
      <w:pPr>
        <w:pStyle w:val="tv213"/>
        <w:spacing w:before="0" w:beforeAutospacing="0" w:after="0" w:afterAutospacing="0"/>
        <w:jc w:val="center"/>
      </w:pPr>
      <w:r w:rsidRPr="009A55BC">
        <w:t>NCSP manipulācijas, kuras tiek ņemtas vērā, nosakot pieredzi pacientu ķirurģiskā ārstēšanā pie konkrētām onkoloģiskajām diagnozēm pēc SSK-10 klasifikatora</w:t>
      </w:r>
    </w:p>
    <w:p w14:paraId="717C5F21" w14:textId="77777777" w:rsidR="009A55BC" w:rsidRPr="009A55BC" w:rsidRDefault="009A55BC" w:rsidP="009A55BC">
      <w:pPr>
        <w:pStyle w:val="tv213"/>
        <w:spacing w:before="0" w:beforeAutospacing="0" w:after="0" w:afterAutospacing="0"/>
        <w:jc w:val="center"/>
      </w:pPr>
    </w:p>
    <w:tbl>
      <w:tblPr>
        <w:tblStyle w:val="Reatabula1"/>
        <w:tblW w:w="10207" w:type="dxa"/>
        <w:tblInd w:w="-289" w:type="dxa"/>
        <w:tblLook w:val="04A0" w:firstRow="1" w:lastRow="0" w:firstColumn="1" w:lastColumn="0" w:noHBand="0" w:noVBand="1"/>
      </w:tblPr>
      <w:tblGrid>
        <w:gridCol w:w="1418"/>
        <w:gridCol w:w="2332"/>
        <w:gridCol w:w="1577"/>
        <w:gridCol w:w="4880"/>
      </w:tblGrid>
      <w:tr w:rsidR="005D7B31" w:rsidRPr="009A55BC" w14:paraId="3DE95743"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54D5EA95" w14:textId="2212A9D9" w:rsidR="005D7B31" w:rsidRPr="009A55BC" w:rsidRDefault="005D7B31" w:rsidP="009A55BC">
            <w:pPr>
              <w:spacing w:line="240" w:lineRule="auto"/>
              <w:contextualSpacing/>
              <w:jc w:val="center"/>
              <w:rPr>
                <w:rFonts w:ascii="Times New Roman" w:hAnsi="Times New Roman"/>
                <w:b/>
                <w:sz w:val="24"/>
                <w:szCs w:val="24"/>
              </w:rPr>
            </w:pPr>
            <w:bookmarkStart w:id="2" w:name="_Hlk126934903"/>
            <w:proofErr w:type="spellStart"/>
            <w:r w:rsidRPr="009A55BC">
              <w:rPr>
                <w:rFonts w:ascii="Times New Roman" w:hAnsi="Times New Roman"/>
                <w:b/>
                <w:sz w:val="24"/>
                <w:szCs w:val="24"/>
              </w:rPr>
              <w:t>N.p.k</w:t>
            </w:r>
            <w:proofErr w:type="spellEnd"/>
            <w:r w:rsidRPr="009A55BC">
              <w:rPr>
                <w:rFonts w:ascii="Times New Roman" w:hAnsi="Times New Roman"/>
                <w:b/>
                <w:sz w:val="24"/>
                <w:szCs w:val="24"/>
              </w:rPr>
              <w:t>.</w:t>
            </w:r>
          </w:p>
        </w:tc>
        <w:tc>
          <w:tcPr>
            <w:tcW w:w="2332" w:type="dxa"/>
            <w:tcBorders>
              <w:top w:val="single" w:sz="4" w:space="0" w:color="auto"/>
              <w:left w:val="single" w:sz="4" w:space="0" w:color="auto"/>
              <w:bottom w:val="single" w:sz="4" w:space="0" w:color="auto"/>
              <w:right w:val="single" w:sz="4" w:space="0" w:color="auto"/>
            </w:tcBorders>
            <w:hideMark/>
          </w:tcPr>
          <w:p w14:paraId="2D954613" w14:textId="77777777" w:rsidR="005D7B31" w:rsidRPr="009A55BC" w:rsidRDefault="005D7B31" w:rsidP="009A55BC">
            <w:pPr>
              <w:spacing w:line="240" w:lineRule="auto"/>
              <w:contextualSpacing/>
              <w:jc w:val="center"/>
              <w:rPr>
                <w:rFonts w:ascii="Times New Roman" w:hAnsi="Times New Roman"/>
                <w:b/>
                <w:sz w:val="24"/>
                <w:szCs w:val="24"/>
              </w:rPr>
            </w:pPr>
            <w:r w:rsidRPr="009A55BC">
              <w:rPr>
                <w:rFonts w:ascii="Times New Roman" w:hAnsi="Times New Roman"/>
                <w:b/>
                <w:sz w:val="24"/>
                <w:szCs w:val="24"/>
              </w:rPr>
              <w:t xml:space="preserve"> NCSP manipulācijas pie </w:t>
            </w:r>
            <w:bookmarkStart w:id="3" w:name="_Hlk126934950"/>
            <w:r w:rsidRPr="009A55BC">
              <w:rPr>
                <w:rFonts w:ascii="Times New Roman" w:hAnsi="Times New Roman"/>
                <w:b/>
                <w:sz w:val="24"/>
                <w:szCs w:val="24"/>
              </w:rPr>
              <w:t>konkrētām onkoloģiskajām diagnozēm vai diagnožu grupām pēc SSK-10 klasifikatora</w:t>
            </w:r>
            <w:bookmarkEnd w:id="3"/>
          </w:p>
        </w:tc>
        <w:tc>
          <w:tcPr>
            <w:tcW w:w="1577" w:type="dxa"/>
            <w:tcBorders>
              <w:top w:val="single" w:sz="4" w:space="0" w:color="auto"/>
              <w:left w:val="single" w:sz="4" w:space="0" w:color="auto"/>
              <w:bottom w:val="single" w:sz="4" w:space="0" w:color="auto"/>
              <w:right w:val="single" w:sz="4" w:space="0" w:color="auto"/>
            </w:tcBorders>
            <w:hideMark/>
          </w:tcPr>
          <w:p w14:paraId="52AE089D" w14:textId="36A4137A" w:rsidR="005D7B31" w:rsidRPr="009A55BC" w:rsidRDefault="005D7B31" w:rsidP="009A55BC">
            <w:pPr>
              <w:spacing w:line="240" w:lineRule="auto"/>
              <w:contextualSpacing/>
              <w:jc w:val="center"/>
              <w:rPr>
                <w:rFonts w:ascii="Times New Roman" w:hAnsi="Times New Roman"/>
                <w:b/>
                <w:sz w:val="24"/>
                <w:szCs w:val="24"/>
              </w:rPr>
            </w:pPr>
            <w:r w:rsidRPr="009A55BC">
              <w:rPr>
                <w:rFonts w:ascii="Times New Roman" w:hAnsi="Times New Roman"/>
                <w:b/>
                <w:sz w:val="24"/>
                <w:szCs w:val="24"/>
              </w:rPr>
              <w:t xml:space="preserve">Vienā gadā veikto </w:t>
            </w:r>
            <w:r w:rsidR="00903ACE" w:rsidRPr="009A55BC">
              <w:rPr>
                <w:rFonts w:ascii="Times New Roman" w:hAnsi="Times New Roman"/>
                <w:b/>
                <w:sz w:val="24"/>
                <w:szCs w:val="24"/>
              </w:rPr>
              <w:t>ķirurģisko</w:t>
            </w:r>
            <w:r w:rsidRPr="009A55BC">
              <w:rPr>
                <w:rFonts w:ascii="Times New Roman" w:hAnsi="Times New Roman"/>
                <w:b/>
                <w:sz w:val="24"/>
                <w:szCs w:val="24"/>
              </w:rPr>
              <w:t xml:space="preserve"> manipulāciju skaits ārstniecības personai</w:t>
            </w:r>
          </w:p>
        </w:tc>
        <w:tc>
          <w:tcPr>
            <w:tcW w:w="4880" w:type="dxa"/>
            <w:tcBorders>
              <w:top w:val="single" w:sz="4" w:space="0" w:color="auto"/>
              <w:left w:val="single" w:sz="4" w:space="0" w:color="auto"/>
              <w:bottom w:val="single" w:sz="4" w:space="0" w:color="auto"/>
              <w:right w:val="single" w:sz="4" w:space="0" w:color="auto"/>
            </w:tcBorders>
          </w:tcPr>
          <w:p w14:paraId="798D5456" w14:textId="77777777" w:rsidR="005D7B31" w:rsidRPr="009A55BC" w:rsidRDefault="005D7B31" w:rsidP="009A55BC">
            <w:pPr>
              <w:spacing w:line="240" w:lineRule="auto"/>
              <w:contextualSpacing/>
              <w:jc w:val="center"/>
              <w:rPr>
                <w:rFonts w:ascii="Times New Roman" w:hAnsi="Times New Roman"/>
                <w:b/>
                <w:sz w:val="24"/>
                <w:szCs w:val="24"/>
              </w:rPr>
            </w:pPr>
            <w:r w:rsidRPr="009A55BC">
              <w:rPr>
                <w:rFonts w:ascii="Times New Roman" w:hAnsi="Times New Roman"/>
                <w:b/>
                <w:sz w:val="24"/>
                <w:szCs w:val="24"/>
              </w:rPr>
              <w:t>NCSP manipulācijas, kuras tiek ņemtas vērā, nosakot pieredzi pacientu ķirurģiskā ārstēšanā</w:t>
            </w:r>
          </w:p>
        </w:tc>
      </w:tr>
      <w:tr w:rsidR="007F1E61" w:rsidRPr="009A55BC" w14:paraId="60C8E3EC"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3BC56E19" w14:textId="7DCF3B11" w:rsidR="007F1E61" w:rsidRPr="009A55BC" w:rsidRDefault="007F1E61" w:rsidP="009A55BC">
            <w:pPr>
              <w:spacing w:line="240" w:lineRule="auto"/>
              <w:rPr>
                <w:rFonts w:ascii="Times New Roman" w:hAnsi="Times New Roman"/>
                <w:sz w:val="24"/>
                <w:szCs w:val="24"/>
              </w:rPr>
            </w:pPr>
            <w:bookmarkStart w:id="4" w:name="_Hlk123819242"/>
            <w:bookmarkEnd w:id="2"/>
            <w:r w:rsidRPr="009A55BC">
              <w:rPr>
                <w:rFonts w:ascii="Times New Roman" w:hAnsi="Times New Roman"/>
                <w:sz w:val="24"/>
                <w:szCs w:val="24"/>
              </w:rPr>
              <w:t>1.</w:t>
            </w:r>
          </w:p>
        </w:tc>
        <w:tc>
          <w:tcPr>
            <w:tcW w:w="2332" w:type="dxa"/>
            <w:tcBorders>
              <w:top w:val="single" w:sz="4" w:space="0" w:color="auto"/>
              <w:left w:val="single" w:sz="4" w:space="0" w:color="auto"/>
              <w:bottom w:val="single" w:sz="4" w:space="0" w:color="auto"/>
              <w:right w:val="single" w:sz="4" w:space="0" w:color="auto"/>
            </w:tcBorders>
          </w:tcPr>
          <w:p w14:paraId="201D76DF" w14:textId="0491771F" w:rsidR="007F1E61" w:rsidRPr="009A55BC" w:rsidRDefault="007F1E61" w:rsidP="009A55BC">
            <w:pPr>
              <w:spacing w:line="240" w:lineRule="auto"/>
              <w:rPr>
                <w:rFonts w:ascii="Times New Roman" w:hAnsi="Times New Roman"/>
                <w:sz w:val="24"/>
                <w:szCs w:val="24"/>
              </w:rPr>
            </w:pPr>
            <w:r w:rsidRPr="009A55BC">
              <w:rPr>
                <w:rFonts w:ascii="Times New Roman" w:hAnsi="Times New Roman"/>
                <w:sz w:val="24"/>
                <w:szCs w:val="24"/>
              </w:rPr>
              <w:t>Krūts ļaundabīgs audzējs (C50, D05)</w:t>
            </w:r>
          </w:p>
        </w:tc>
        <w:tc>
          <w:tcPr>
            <w:tcW w:w="1577" w:type="dxa"/>
            <w:tcBorders>
              <w:top w:val="single" w:sz="4" w:space="0" w:color="auto"/>
              <w:left w:val="single" w:sz="4" w:space="0" w:color="auto"/>
              <w:bottom w:val="single" w:sz="4" w:space="0" w:color="auto"/>
              <w:right w:val="single" w:sz="4" w:space="0" w:color="auto"/>
            </w:tcBorders>
          </w:tcPr>
          <w:p w14:paraId="25660EEC" w14:textId="5B938A8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70</w:t>
            </w:r>
          </w:p>
        </w:tc>
        <w:tc>
          <w:tcPr>
            <w:tcW w:w="4880" w:type="dxa"/>
            <w:tcBorders>
              <w:top w:val="single" w:sz="4" w:space="0" w:color="auto"/>
              <w:left w:val="single" w:sz="4" w:space="0" w:color="auto"/>
              <w:bottom w:val="single" w:sz="4" w:space="0" w:color="auto"/>
              <w:right w:val="single" w:sz="4" w:space="0" w:color="auto"/>
            </w:tcBorders>
          </w:tcPr>
          <w:p w14:paraId="483CD51F" w14:textId="66C960FD" w:rsidR="0022581A" w:rsidRPr="009A55BC" w:rsidRDefault="0022581A" w:rsidP="009A55BC">
            <w:pPr>
              <w:spacing w:line="240" w:lineRule="auto"/>
              <w:contextualSpacing/>
              <w:rPr>
                <w:rFonts w:ascii="Times New Roman" w:hAnsi="Times New Roman"/>
                <w:sz w:val="24"/>
                <w:szCs w:val="24"/>
              </w:rPr>
            </w:pPr>
            <w:r w:rsidRPr="009A55BC">
              <w:rPr>
                <w:rFonts w:ascii="Times New Roman" w:hAnsi="Times New Roman"/>
                <w:sz w:val="24"/>
                <w:szCs w:val="24"/>
              </w:rPr>
              <w:t>HAB10; HAB20; HAB30; HAB40; HAB99; HAC10; HAC15; HAC20; HAC25; HAC30; HAC99; HAF00, HAF20; HAF99; PJD42; PJD52; HAD30; HAE00; PJA10; HAE20; LAF11</w:t>
            </w:r>
          </w:p>
        </w:tc>
      </w:tr>
      <w:tr w:rsidR="007F1E61" w:rsidRPr="009A55BC" w14:paraId="53F1D94D"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15DCB086" w14:textId="248B06F1"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2.</w:t>
            </w:r>
          </w:p>
        </w:tc>
        <w:tc>
          <w:tcPr>
            <w:tcW w:w="2332" w:type="dxa"/>
            <w:tcBorders>
              <w:top w:val="single" w:sz="4" w:space="0" w:color="auto"/>
              <w:left w:val="single" w:sz="4" w:space="0" w:color="auto"/>
              <w:bottom w:val="single" w:sz="4" w:space="0" w:color="auto"/>
              <w:right w:val="single" w:sz="4" w:space="0" w:color="auto"/>
            </w:tcBorders>
          </w:tcPr>
          <w:p w14:paraId="4E6CCBB6" w14:textId="1FF434B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Priekšdziedzera un sēklinieku ļaundabīgs audzējs (C61- C62)</w:t>
            </w:r>
          </w:p>
        </w:tc>
        <w:tc>
          <w:tcPr>
            <w:tcW w:w="1577" w:type="dxa"/>
            <w:tcBorders>
              <w:top w:val="single" w:sz="4" w:space="0" w:color="auto"/>
              <w:left w:val="single" w:sz="4" w:space="0" w:color="auto"/>
              <w:bottom w:val="single" w:sz="4" w:space="0" w:color="auto"/>
              <w:right w:val="single" w:sz="4" w:space="0" w:color="auto"/>
            </w:tcBorders>
          </w:tcPr>
          <w:p w14:paraId="3ECFE673" w14:textId="76973D5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48C8A1BE" w14:textId="23197C9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KEB00; KEC00; KEC01; KED22; PJD44; PJD54; PJD64; KFC00; KAJ00; KCD02; KDV12</w:t>
            </w:r>
          </w:p>
        </w:tc>
      </w:tr>
      <w:tr w:rsidR="007F1E61" w:rsidRPr="009A55BC" w14:paraId="329285FC" w14:textId="77777777" w:rsidTr="009A55BC">
        <w:tc>
          <w:tcPr>
            <w:tcW w:w="1418" w:type="dxa"/>
            <w:tcBorders>
              <w:top w:val="single" w:sz="4" w:space="0" w:color="auto"/>
              <w:left w:val="single" w:sz="4" w:space="0" w:color="auto"/>
              <w:bottom w:val="single" w:sz="4" w:space="0" w:color="auto"/>
              <w:right w:val="single" w:sz="4" w:space="0" w:color="auto"/>
            </w:tcBorders>
          </w:tcPr>
          <w:p w14:paraId="002A52AB" w14:textId="6FE9278E"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3.</w:t>
            </w:r>
          </w:p>
        </w:tc>
        <w:tc>
          <w:tcPr>
            <w:tcW w:w="2332" w:type="dxa"/>
            <w:tcBorders>
              <w:top w:val="single" w:sz="4" w:space="0" w:color="auto"/>
              <w:left w:val="single" w:sz="4" w:space="0" w:color="auto"/>
              <w:bottom w:val="single" w:sz="4" w:space="0" w:color="auto"/>
              <w:right w:val="single" w:sz="4" w:space="0" w:color="auto"/>
            </w:tcBorders>
          </w:tcPr>
          <w:p w14:paraId="72B2089D" w14:textId="23CE617D"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 xml:space="preserve">Bronhu, plaušu, </w:t>
            </w:r>
            <w:proofErr w:type="spellStart"/>
            <w:r w:rsidRPr="009A55BC">
              <w:rPr>
                <w:rFonts w:ascii="Times New Roman" w:hAnsi="Times New Roman"/>
                <w:iCs/>
                <w:color w:val="000000"/>
                <w:sz w:val="24"/>
                <w:szCs w:val="24"/>
              </w:rPr>
              <w:t>aizkrūtes</w:t>
            </w:r>
            <w:proofErr w:type="spellEnd"/>
            <w:r w:rsidRPr="009A55BC">
              <w:rPr>
                <w:rFonts w:ascii="Times New Roman" w:hAnsi="Times New Roman"/>
                <w:iCs/>
                <w:color w:val="000000"/>
                <w:sz w:val="24"/>
                <w:szCs w:val="24"/>
              </w:rPr>
              <w:t xml:space="preserve"> dziedzera, sirds, videnes un pleiras ļaundabīgs audzējs (C34, C37, C38, C45)</w:t>
            </w:r>
          </w:p>
        </w:tc>
        <w:tc>
          <w:tcPr>
            <w:tcW w:w="1577" w:type="dxa"/>
            <w:tcBorders>
              <w:top w:val="single" w:sz="4" w:space="0" w:color="auto"/>
              <w:left w:val="single" w:sz="4" w:space="0" w:color="auto"/>
              <w:bottom w:val="single" w:sz="4" w:space="0" w:color="auto"/>
              <w:right w:val="single" w:sz="4" w:space="0" w:color="auto"/>
            </w:tcBorders>
          </w:tcPr>
          <w:p w14:paraId="33016C78" w14:textId="3F7EB2B4"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40</w:t>
            </w:r>
          </w:p>
        </w:tc>
        <w:tc>
          <w:tcPr>
            <w:tcW w:w="4880" w:type="dxa"/>
            <w:tcBorders>
              <w:top w:val="single" w:sz="4" w:space="0" w:color="auto"/>
              <w:left w:val="single" w:sz="4" w:space="0" w:color="auto"/>
              <w:bottom w:val="single" w:sz="4" w:space="0" w:color="auto"/>
              <w:right w:val="single" w:sz="4" w:space="0" w:color="auto"/>
            </w:tcBorders>
          </w:tcPr>
          <w:p w14:paraId="58AAFC01" w14:textId="7A9A895D"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GDA20; GDB10; GDB11; GDB20; GDB21; GCA26; GCA30; GCA40; GCA50; GCA60; GCA63; GDC00; GDC01; GDC10; GDC11; GDC13; GDC20; GDC23; GDC26; GDC96; GDC97; GDD00; GDD01; GDD10; GDD11; GDD20; GDD23; GDD26; GDD96; GDD97; GAG33; GAG36; GAE23; GEC00; GEC03; GEC10; GEC13; GEC14; GEC16; GEC20; GEC23; GEC24; GEC26; GEB30; GEB40 GEW96; GAC43; GAC44; GAC96; GAC97; GAE16; GAE20; PJD98; PJA10; GAC01; GBA25; GBA32; GCA32; GCA96; GDB96</w:t>
            </w:r>
          </w:p>
        </w:tc>
      </w:tr>
      <w:tr w:rsidR="007F1E61" w:rsidRPr="009A55BC" w14:paraId="542E3FE9" w14:textId="77777777" w:rsidTr="009A55BC">
        <w:tc>
          <w:tcPr>
            <w:tcW w:w="1418" w:type="dxa"/>
            <w:tcBorders>
              <w:top w:val="single" w:sz="4" w:space="0" w:color="auto"/>
              <w:left w:val="single" w:sz="4" w:space="0" w:color="auto"/>
              <w:bottom w:val="single" w:sz="4" w:space="0" w:color="auto"/>
              <w:right w:val="single" w:sz="4" w:space="0" w:color="auto"/>
            </w:tcBorders>
          </w:tcPr>
          <w:p w14:paraId="3A2AE34C" w14:textId="536A692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4.</w:t>
            </w:r>
          </w:p>
        </w:tc>
        <w:tc>
          <w:tcPr>
            <w:tcW w:w="2332" w:type="dxa"/>
            <w:tcBorders>
              <w:top w:val="single" w:sz="4" w:space="0" w:color="auto"/>
              <w:left w:val="single" w:sz="4" w:space="0" w:color="auto"/>
              <w:bottom w:val="single" w:sz="4" w:space="0" w:color="auto"/>
              <w:right w:val="single" w:sz="4" w:space="0" w:color="auto"/>
            </w:tcBorders>
          </w:tcPr>
          <w:p w14:paraId="1A5EB0C8" w14:textId="1594BD2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Resnās zarnas ļaundabīgs audzējs (C18)</w:t>
            </w:r>
          </w:p>
        </w:tc>
        <w:tc>
          <w:tcPr>
            <w:tcW w:w="1577" w:type="dxa"/>
            <w:tcBorders>
              <w:top w:val="single" w:sz="4" w:space="0" w:color="auto"/>
              <w:left w:val="single" w:sz="4" w:space="0" w:color="auto"/>
              <w:bottom w:val="single" w:sz="4" w:space="0" w:color="auto"/>
              <w:right w:val="single" w:sz="4" w:space="0" w:color="auto"/>
            </w:tcBorders>
          </w:tcPr>
          <w:p w14:paraId="3DB097C9" w14:textId="0629717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3ABBDD86" w14:textId="7EF3869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JFB30; JFB31; JFB43; JFB46; JFC10; JFC30; PJD97; PJD98; JFF10; JFF23; JFF26; JFG20; JAH00; JFB44; JFB47; JFF20</w:t>
            </w:r>
          </w:p>
        </w:tc>
      </w:tr>
      <w:tr w:rsidR="007F1E61" w:rsidRPr="009A55BC" w14:paraId="7F956626" w14:textId="77777777" w:rsidTr="009A55BC">
        <w:tc>
          <w:tcPr>
            <w:tcW w:w="1418" w:type="dxa"/>
            <w:tcBorders>
              <w:top w:val="single" w:sz="4" w:space="0" w:color="auto"/>
              <w:left w:val="single" w:sz="4" w:space="0" w:color="auto"/>
              <w:bottom w:val="single" w:sz="4" w:space="0" w:color="auto"/>
              <w:right w:val="single" w:sz="4" w:space="0" w:color="auto"/>
            </w:tcBorders>
          </w:tcPr>
          <w:p w14:paraId="4F9A3EC3" w14:textId="7072000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5.</w:t>
            </w:r>
          </w:p>
        </w:tc>
        <w:tc>
          <w:tcPr>
            <w:tcW w:w="2332" w:type="dxa"/>
            <w:tcBorders>
              <w:top w:val="single" w:sz="4" w:space="0" w:color="auto"/>
              <w:left w:val="single" w:sz="4" w:space="0" w:color="auto"/>
              <w:bottom w:val="single" w:sz="4" w:space="0" w:color="auto"/>
              <w:right w:val="single" w:sz="4" w:space="0" w:color="auto"/>
            </w:tcBorders>
          </w:tcPr>
          <w:p w14:paraId="6B668C8A" w14:textId="5F7F92A4"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Taisnās zarnas ļaundabīgs audzējs vai tūpļa un tūpļa kanāla ļaundabīgs audzējs (C19- C21)</w:t>
            </w:r>
          </w:p>
        </w:tc>
        <w:tc>
          <w:tcPr>
            <w:tcW w:w="1577" w:type="dxa"/>
            <w:tcBorders>
              <w:top w:val="single" w:sz="4" w:space="0" w:color="auto"/>
              <w:left w:val="single" w:sz="4" w:space="0" w:color="auto"/>
              <w:bottom w:val="single" w:sz="4" w:space="0" w:color="auto"/>
              <w:right w:val="single" w:sz="4" w:space="0" w:color="auto"/>
            </w:tcBorders>
          </w:tcPr>
          <w:p w14:paraId="582A71D5" w14:textId="3C298F8B"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6F5DE133" w14:textId="2174ABE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JFB30; JFB31; JFB43; JFB46; JFC10; JFC30; PJD97; PJD98; JFF10; JFF23; JFF26; JFG20; JGB00; JGB03; JGB33; JFB33; JAH00; JGB04; JGB10; JGB30; JGB31; JPE05</w:t>
            </w:r>
          </w:p>
        </w:tc>
      </w:tr>
      <w:tr w:rsidR="007F1E61" w:rsidRPr="009A55BC" w14:paraId="6B0E4CA7" w14:textId="77777777" w:rsidTr="009A55BC">
        <w:tc>
          <w:tcPr>
            <w:tcW w:w="1418" w:type="dxa"/>
            <w:tcBorders>
              <w:top w:val="single" w:sz="4" w:space="0" w:color="auto"/>
              <w:left w:val="single" w:sz="4" w:space="0" w:color="auto"/>
              <w:bottom w:val="single" w:sz="4" w:space="0" w:color="auto"/>
              <w:right w:val="single" w:sz="4" w:space="0" w:color="auto"/>
            </w:tcBorders>
          </w:tcPr>
          <w:p w14:paraId="0D56AC82" w14:textId="777F0EAE"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6.</w:t>
            </w:r>
          </w:p>
        </w:tc>
        <w:tc>
          <w:tcPr>
            <w:tcW w:w="2332" w:type="dxa"/>
            <w:tcBorders>
              <w:top w:val="single" w:sz="4" w:space="0" w:color="auto"/>
              <w:left w:val="single" w:sz="4" w:space="0" w:color="auto"/>
              <w:bottom w:val="single" w:sz="4" w:space="0" w:color="auto"/>
              <w:right w:val="single" w:sz="4" w:space="0" w:color="auto"/>
            </w:tcBorders>
          </w:tcPr>
          <w:p w14:paraId="5124A90E" w14:textId="13F37FAF"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Kuņģa ļaundabīgs audzējs (C16)</w:t>
            </w:r>
          </w:p>
        </w:tc>
        <w:tc>
          <w:tcPr>
            <w:tcW w:w="1577" w:type="dxa"/>
            <w:tcBorders>
              <w:top w:val="single" w:sz="4" w:space="0" w:color="auto"/>
              <w:left w:val="single" w:sz="4" w:space="0" w:color="auto"/>
              <w:bottom w:val="single" w:sz="4" w:space="0" w:color="auto"/>
              <w:right w:val="single" w:sz="4" w:space="0" w:color="auto"/>
            </w:tcBorders>
          </w:tcPr>
          <w:p w14:paraId="06764FE9" w14:textId="7F7609FA"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03E45E9D" w14:textId="6E69BEDE"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JDC00; JDC10; JDC11; JDC20; JDC30; JDC40; JDC96; JDC97; JDD00; JDD96; PJD98</w:t>
            </w:r>
          </w:p>
        </w:tc>
      </w:tr>
      <w:tr w:rsidR="007F1E61" w:rsidRPr="009A55BC" w14:paraId="7606905A" w14:textId="77777777" w:rsidTr="009A55BC">
        <w:tc>
          <w:tcPr>
            <w:tcW w:w="1418" w:type="dxa"/>
            <w:tcBorders>
              <w:top w:val="single" w:sz="4" w:space="0" w:color="auto"/>
              <w:left w:val="single" w:sz="4" w:space="0" w:color="auto"/>
              <w:bottom w:val="single" w:sz="4" w:space="0" w:color="auto"/>
              <w:right w:val="single" w:sz="4" w:space="0" w:color="auto"/>
            </w:tcBorders>
          </w:tcPr>
          <w:p w14:paraId="1E9F9589" w14:textId="553BD03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7.</w:t>
            </w:r>
          </w:p>
        </w:tc>
        <w:tc>
          <w:tcPr>
            <w:tcW w:w="2332" w:type="dxa"/>
            <w:tcBorders>
              <w:top w:val="single" w:sz="4" w:space="0" w:color="auto"/>
              <w:left w:val="single" w:sz="4" w:space="0" w:color="auto"/>
              <w:bottom w:val="single" w:sz="4" w:space="0" w:color="auto"/>
              <w:right w:val="single" w:sz="4" w:space="0" w:color="auto"/>
            </w:tcBorders>
          </w:tcPr>
          <w:p w14:paraId="6B386DC7" w14:textId="69CC3F03"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Nieres, virsnieres ļaundabīgs audzējs (C64 un C74)</w:t>
            </w:r>
          </w:p>
        </w:tc>
        <w:tc>
          <w:tcPr>
            <w:tcW w:w="1577" w:type="dxa"/>
            <w:tcBorders>
              <w:top w:val="single" w:sz="4" w:space="0" w:color="auto"/>
              <w:left w:val="single" w:sz="4" w:space="0" w:color="auto"/>
              <w:bottom w:val="single" w:sz="4" w:space="0" w:color="auto"/>
              <w:right w:val="single" w:sz="4" w:space="0" w:color="auto"/>
            </w:tcBorders>
          </w:tcPr>
          <w:p w14:paraId="6ED8504B" w14:textId="5B9A3360"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7</w:t>
            </w:r>
          </w:p>
        </w:tc>
        <w:tc>
          <w:tcPr>
            <w:tcW w:w="4880" w:type="dxa"/>
            <w:tcBorders>
              <w:top w:val="single" w:sz="4" w:space="0" w:color="auto"/>
              <w:left w:val="single" w:sz="4" w:space="0" w:color="auto"/>
              <w:bottom w:val="single" w:sz="4" w:space="0" w:color="auto"/>
              <w:right w:val="single" w:sz="4" w:space="0" w:color="auto"/>
            </w:tcBorders>
          </w:tcPr>
          <w:p w14:paraId="7B8D47C0" w14:textId="45B1C92F"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KAC00; KAC01; KAD00; KAD01; BCA30; BCA31; BCA40; BCA41; BCA99; PJD99; PJD53; PJD63</w:t>
            </w:r>
          </w:p>
        </w:tc>
      </w:tr>
      <w:tr w:rsidR="007F1E61" w:rsidRPr="009A55BC" w14:paraId="22BCD11C" w14:textId="77777777" w:rsidTr="009A55BC">
        <w:tc>
          <w:tcPr>
            <w:tcW w:w="1418" w:type="dxa"/>
            <w:tcBorders>
              <w:top w:val="single" w:sz="4" w:space="0" w:color="auto"/>
              <w:left w:val="single" w:sz="4" w:space="0" w:color="auto"/>
              <w:bottom w:val="single" w:sz="4" w:space="0" w:color="auto"/>
              <w:right w:val="single" w:sz="4" w:space="0" w:color="auto"/>
            </w:tcBorders>
          </w:tcPr>
          <w:p w14:paraId="74DCB36B" w14:textId="5F9F3A8F"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lastRenderedPageBreak/>
              <w:t>8.</w:t>
            </w:r>
          </w:p>
        </w:tc>
        <w:tc>
          <w:tcPr>
            <w:tcW w:w="2332" w:type="dxa"/>
            <w:tcBorders>
              <w:top w:val="single" w:sz="4" w:space="0" w:color="auto"/>
              <w:left w:val="single" w:sz="4" w:space="0" w:color="auto"/>
              <w:bottom w:val="single" w:sz="4" w:space="0" w:color="auto"/>
              <w:right w:val="single" w:sz="4" w:space="0" w:color="auto"/>
            </w:tcBorders>
          </w:tcPr>
          <w:p w14:paraId="51DC1146" w14:textId="507FEBB6"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Urīnpūšļa ļaundabīgs audzējs (C67)</w:t>
            </w:r>
          </w:p>
        </w:tc>
        <w:tc>
          <w:tcPr>
            <w:tcW w:w="1577" w:type="dxa"/>
            <w:tcBorders>
              <w:top w:val="single" w:sz="4" w:space="0" w:color="auto"/>
              <w:left w:val="single" w:sz="4" w:space="0" w:color="auto"/>
              <w:bottom w:val="single" w:sz="4" w:space="0" w:color="auto"/>
              <w:right w:val="single" w:sz="4" w:space="0" w:color="auto"/>
            </w:tcBorders>
          </w:tcPr>
          <w:p w14:paraId="028F7895" w14:textId="56828493"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20</w:t>
            </w:r>
          </w:p>
        </w:tc>
        <w:tc>
          <w:tcPr>
            <w:tcW w:w="4880" w:type="dxa"/>
            <w:tcBorders>
              <w:top w:val="single" w:sz="4" w:space="0" w:color="auto"/>
              <w:left w:val="single" w:sz="4" w:space="0" w:color="auto"/>
              <w:bottom w:val="single" w:sz="4" w:space="0" w:color="auto"/>
              <w:right w:val="single" w:sz="4" w:space="0" w:color="auto"/>
            </w:tcBorders>
          </w:tcPr>
          <w:p w14:paraId="5511B0EA" w14:textId="6824E4F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KAJ00; KCC10; KCD02; PJD44; KCC00; KBH30; KCC30; KAC20; KED22; PJD54; KCC20; KDV12</w:t>
            </w:r>
          </w:p>
        </w:tc>
      </w:tr>
      <w:tr w:rsidR="007F1E61" w:rsidRPr="009A55BC" w14:paraId="3E5C3858" w14:textId="77777777" w:rsidTr="009A55BC">
        <w:tc>
          <w:tcPr>
            <w:tcW w:w="1418" w:type="dxa"/>
            <w:tcBorders>
              <w:top w:val="single" w:sz="4" w:space="0" w:color="auto"/>
              <w:left w:val="single" w:sz="4" w:space="0" w:color="auto"/>
              <w:bottom w:val="single" w:sz="4" w:space="0" w:color="auto"/>
              <w:right w:val="single" w:sz="4" w:space="0" w:color="auto"/>
            </w:tcBorders>
          </w:tcPr>
          <w:p w14:paraId="40AEF052" w14:textId="7A2F704E"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9.</w:t>
            </w:r>
          </w:p>
        </w:tc>
        <w:tc>
          <w:tcPr>
            <w:tcW w:w="2332" w:type="dxa"/>
            <w:tcBorders>
              <w:top w:val="single" w:sz="4" w:space="0" w:color="auto"/>
              <w:left w:val="single" w:sz="4" w:space="0" w:color="auto"/>
              <w:bottom w:val="single" w:sz="4" w:space="0" w:color="auto"/>
              <w:right w:val="single" w:sz="4" w:space="0" w:color="auto"/>
            </w:tcBorders>
          </w:tcPr>
          <w:p w14:paraId="124648C4" w14:textId="6A712209"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Aizkuņģa dziedzera ļaundabīgs audzējs (C25)</w:t>
            </w:r>
          </w:p>
        </w:tc>
        <w:tc>
          <w:tcPr>
            <w:tcW w:w="1577" w:type="dxa"/>
            <w:tcBorders>
              <w:top w:val="single" w:sz="4" w:space="0" w:color="auto"/>
              <w:left w:val="single" w:sz="4" w:space="0" w:color="auto"/>
              <w:bottom w:val="single" w:sz="4" w:space="0" w:color="auto"/>
              <w:right w:val="single" w:sz="4" w:space="0" w:color="auto"/>
            </w:tcBorders>
          </w:tcPr>
          <w:p w14:paraId="2D624BEA" w14:textId="11339D99"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5</w:t>
            </w:r>
          </w:p>
        </w:tc>
        <w:tc>
          <w:tcPr>
            <w:tcW w:w="4880" w:type="dxa"/>
            <w:tcBorders>
              <w:top w:val="single" w:sz="4" w:space="0" w:color="auto"/>
              <w:left w:val="single" w:sz="4" w:space="0" w:color="auto"/>
              <w:bottom w:val="single" w:sz="4" w:space="0" w:color="auto"/>
              <w:right w:val="single" w:sz="4" w:space="0" w:color="auto"/>
            </w:tcBorders>
          </w:tcPr>
          <w:p w14:paraId="2F071924" w14:textId="0431A065"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JAH20; JAH21; JLC30; JLC40; JLC20; JLC50; JKD00; JKD10; JLB96; JLC10; PJD98; JAH00; JAH01; JDE00; JPE05</w:t>
            </w:r>
          </w:p>
        </w:tc>
      </w:tr>
      <w:tr w:rsidR="007F1E61" w:rsidRPr="009A55BC" w14:paraId="767675E1" w14:textId="77777777" w:rsidTr="009A55BC">
        <w:tc>
          <w:tcPr>
            <w:tcW w:w="1418" w:type="dxa"/>
            <w:tcBorders>
              <w:top w:val="single" w:sz="4" w:space="0" w:color="auto"/>
              <w:left w:val="single" w:sz="4" w:space="0" w:color="auto"/>
              <w:bottom w:val="single" w:sz="4" w:space="0" w:color="auto"/>
              <w:right w:val="single" w:sz="4" w:space="0" w:color="auto"/>
            </w:tcBorders>
          </w:tcPr>
          <w:p w14:paraId="72EA5FA2" w14:textId="37BB6EF6"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10.</w:t>
            </w:r>
          </w:p>
        </w:tc>
        <w:tc>
          <w:tcPr>
            <w:tcW w:w="2332" w:type="dxa"/>
            <w:tcBorders>
              <w:top w:val="single" w:sz="4" w:space="0" w:color="auto"/>
              <w:left w:val="single" w:sz="4" w:space="0" w:color="auto"/>
              <w:bottom w:val="single" w:sz="4" w:space="0" w:color="auto"/>
              <w:right w:val="single" w:sz="4" w:space="0" w:color="auto"/>
            </w:tcBorders>
          </w:tcPr>
          <w:p w14:paraId="2463B7A0" w14:textId="7EE303CD"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Dzemdes ķermeņa (C54, C55) un olnīcu (C56) ļaundabīgs audzējs</w:t>
            </w:r>
          </w:p>
        </w:tc>
        <w:tc>
          <w:tcPr>
            <w:tcW w:w="1577" w:type="dxa"/>
            <w:tcBorders>
              <w:top w:val="single" w:sz="4" w:space="0" w:color="auto"/>
              <w:left w:val="single" w:sz="4" w:space="0" w:color="auto"/>
              <w:bottom w:val="single" w:sz="4" w:space="0" w:color="auto"/>
              <w:right w:val="single" w:sz="4" w:space="0" w:color="auto"/>
            </w:tcBorders>
          </w:tcPr>
          <w:p w14:paraId="20882CA6" w14:textId="6615C9C1"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30</w:t>
            </w:r>
          </w:p>
        </w:tc>
        <w:tc>
          <w:tcPr>
            <w:tcW w:w="4880" w:type="dxa"/>
            <w:tcBorders>
              <w:top w:val="single" w:sz="4" w:space="0" w:color="auto"/>
              <w:left w:val="single" w:sz="4" w:space="0" w:color="auto"/>
              <w:bottom w:val="single" w:sz="4" w:space="0" w:color="auto"/>
              <w:right w:val="single" w:sz="4" w:space="0" w:color="auto"/>
            </w:tcBorders>
          </w:tcPr>
          <w:p w14:paraId="2325A6A3" w14:textId="6CE9DBBC"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LAF10; LCA13; LCD00; PJD43; PJD44; JAL00; JAL30; LAF11; LCD01; LCD04</w:t>
            </w:r>
          </w:p>
        </w:tc>
      </w:tr>
      <w:tr w:rsidR="007F1E61" w:rsidRPr="009A55BC" w14:paraId="5C8A225E" w14:textId="77777777" w:rsidTr="009A55BC">
        <w:tc>
          <w:tcPr>
            <w:tcW w:w="1418" w:type="dxa"/>
            <w:tcBorders>
              <w:top w:val="single" w:sz="4" w:space="0" w:color="auto"/>
              <w:left w:val="single" w:sz="4" w:space="0" w:color="auto"/>
              <w:bottom w:val="single" w:sz="4" w:space="0" w:color="auto"/>
              <w:right w:val="single" w:sz="4" w:space="0" w:color="auto"/>
            </w:tcBorders>
          </w:tcPr>
          <w:p w14:paraId="3995418F" w14:textId="4FA2A5F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11.</w:t>
            </w:r>
          </w:p>
        </w:tc>
        <w:tc>
          <w:tcPr>
            <w:tcW w:w="2332" w:type="dxa"/>
            <w:tcBorders>
              <w:top w:val="single" w:sz="4" w:space="0" w:color="auto"/>
              <w:left w:val="single" w:sz="4" w:space="0" w:color="auto"/>
              <w:bottom w:val="single" w:sz="4" w:space="0" w:color="auto"/>
              <w:right w:val="single" w:sz="4" w:space="0" w:color="auto"/>
            </w:tcBorders>
          </w:tcPr>
          <w:p w14:paraId="2E00D880" w14:textId="629FA75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 xml:space="preserve">Smadzeņu un citu centrālās nervu sistēmas daļu ļaundabīgs un labdabīgs audzējs (C70-C72, </w:t>
            </w:r>
            <w:r w:rsidRPr="009A55BC">
              <w:rPr>
                <w:rFonts w:ascii="Times New Roman" w:hAnsi="Times New Roman"/>
                <w:sz w:val="24"/>
                <w:szCs w:val="24"/>
              </w:rPr>
              <w:t>D32- D33)</w:t>
            </w:r>
          </w:p>
        </w:tc>
        <w:tc>
          <w:tcPr>
            <w:tcW w:w="1577" w:type="dxa"/>
            <w:tcBorders>
              <w:top w:val="single" w:sz="4" w:space="0" w:color="auto"/>
              <w:left w:val="single" w:sz="4" w:space="0" w:color="auto"/>
              <w:bottom w:val="single" w:sz="4" w:space="0" w:color="auto"/>
              <w:right w:val="single" w:sz="4" w:space="0" w:color="auto"/>
            </w:tcBorders>
          </w:tcPr>
          <w:p w14:paraId="717E8043" w14:textId="21E3B21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D0B7B69" w14:textId="3734BF8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AAB00; ABB00; AAG00</w:t>
            </w:r>
          </w:p>
        </w:tc>
      </w:tr>
      <w:tr w:rsidR="007F1E61" w:rsidRPr="009A55BC" w14:paraId="4AC7E344" w14:textId="77777777" w:rsidTr="009A55BC">
        <w:tc>
          <w:tcPr>
            <w:tcW w:w="1418" w:type="dxa"/>
            <w:tcBorders>
              <w:top w:val="single" w:sz="4" w:space="0" w:color="auto"/>
              <w:left w:val="single" w:sz="4" w:space="0" w:color="auto"/>
              <w:bottom w:val="single" w:sz="4" w:space="0" w:color="auto"/>
              <w:right w:val="single" w:sz="4" w:space="0" w:color="auto"/>
            </w:tcBorders>
          </w:tcPr>
          <w:p w14:paraId="3A5544F8" w14:textId="45AA248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12.</w:t>
            </w:r>
          </w:p>
        </w:tc>
        <w:tc>
          <w:tcPr>
            <w:tcW w:w="2332" w:type="dxa"/>
            <w:tcBorders>
              <w:top w:val="single" w:sz="4" w:space="0" w:color="auto"/>
              <w:left w:val="single" w:sz="4" w:space="0" w:color="auto"/>
              <w:bottom w:val="single" w:sz="4" w:space="0" w:color="auto"/>
              <w:right w:val="single" w:sz="4" w:space="0" w:color="auto"/>
            </w:tcBorders>
          </w:tcPr>
          <w:p w14:paraId="7443A93E" w14:textId="7DA4725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Vairogdziedzera ļaundabīgs audzējs (C73)</w:t>
            </w:r>
          </w:p>
        </w:tc>
        <w:tc>
          <w:tcPr>
            <w:tcW w:w="1577" w:type="dxa"/>
            <w:tcBorders>
              <w:top w:val="single" w:sz="4" w:space="0" w:color="auto"/>
              <w:left w:val="single" w:sz="4" w:space="0" w:color="auto"/>
              <w:bottom w:val="single" w:sz="4" w:space="0" w:color="auto"/>
              <w:right w:val="single" w:sz="4" w:space="0" w:color="auto"/>
            </w:tcBorders>
          </w:tcPr>
          <w:p w14:paraId="62C0B6D8" w14:textId="28C33458"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633581C" w14:textId="63BBEB6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DQB20; PJD41; PJD51; PJD98; PJD99; PJA10; BAA00; BAA05; BAA10; BAA20; BAA25; BAA30; BAA40; BAA50; BAA60; BAA99</w:t>
            </w:r>
          </w:p>
        </w:tc>
      </w:tr>
      <w:tr w:rsidR="007F1E61" w:rsidRPr="009A55BC" w14:paraId="61F3A9AA" w14:textId="77777777" w:rsidTr="009A55BC">
        <w:tc>
          <w:tcPr>
            <w:tcW w:w="1418" w:type="dxa"/>
            <w:tcBorders>
              <w:top w:val="single" w:sz="4" w:space="0" w:color="auto"/>
              <w:left w:val="single" w:sz="4" w:space="0" w:color="auto"/>
              <w:bottom w:val="single" w:sz="4" w:space="0" w:color="auto"/>
              <w:right w:val="single" w:sz="4" w:space="0" w:color="auto"/>
            </w:tcBorders>
          </w:tcPr>
          <w:p w14:paraId="71669146" w14:textId="00066E80"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13.</w:t>
            </w:r>
          </w:p>
        </w:tc>
        <w:tc>
          <w:tcPr>
            <w:tcW w:w="2332" w:type="dxa"/>
            <w:tcBorders>
              <w:top w:val="single" w:sz="4" w:space="0" w:color="auto"/>
              <w:left w:val="single" w:sz="4" w:space="0" w:color="auto"/>
              <w:bottom w:val="single" w:sz="4" w:space="0" w:color="auto"/>
              <w:right w:val="single" w:sz="4" w:space="0" w:color="auto"/>
            </w:tcBorders>
          </w:tcPr>
          <w:p w14:paraId="06E02803" w14:textId="3B42F403"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 xml:space="preserve">Aknu, </w:t>
            </w:r>
            <w:proofErr w:type="spellStart"/>
            <w:r w:rsidRPr="009A55BC">
              <w:rPr>
                <w:rFonts w:ascii="Times New Roman" w:hAnsi="Times New Roman"/>
                <w:color w:val="000000"/>
                <w:sz w:val="24"/>
                <w:szCs w:val="24"/>
              </w:rPr>
              <w:t>žultsceļu</w:t>
            </w:r>
            <w:proofErr w:type="spellEnd"/>
            <w:r w:rsidRPr="009A55BC">
              <w:rPr>
                <w:rFonts w:ascii="Times New Roman" w:hAnsi="Times New Roman"/>
                <w:color w:val="000000"/>
                <w:sz w:val="24"/>
                <w:szCs w:val="24"/>
              </w:rPr>
              <w:t xml:space="preserve"> vai žultspūšļa ļaundabīgs audzējs (C22-C24)</w:t>
            </w:r>
          </w:p>
        </w:tc>
        <w:tc>
          <w:tcPr>
            <w:tcW w:w="1577" w:type="dxa"/>
            <w:tcBorders>
              <w:top w:val="single" w:sz="4" w:space="0" w:color="auto"/>
              <w:left w:val="single" w:sz="4" w:space="0" w:color="auto"/>
              <w:bottom w:val="single" w:sz="4" w:space="0" w:color="auto"/>
              <w:right w:val="single" w:sz="4" w:space="0" w:color="auto"/>
            </w:tcBorders>
          </w:tcPr>
          <w:p w14:paraId="606BBF0C" w14:textId="1297DAE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4</w:t>
            </w:r>
          </w:p>
        </w:tc>
        <w:tc>
          <w:tcPr>
            <w:tcW w:w="4880" w:type="dxa"/>
            <w:tcBorders>
              <w:top w:val="single" w:sz="4" w:space="0" w:color="auto"/>
              <w:left w:val="single" w:sz="4" w:space="0" w:color="auto"/>
              <w:bottom w:val="single" w:sz="4" w:space="0" w:color="auto"/>
              <w:right w:val="single" w:sz="4" w:space="0" w:color="auto"/>
            </w:tcBorders>
          </w:tcPr>
          <w:p w14:paraId="208D25E6" w14:textId="66B5922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JJB00; JJB10; JJB20; JJB30; JJB40; JJB50; JJB53; JJB60; JJB71; JJB96; JKC10; JKC20; JKC30; JKC40; JKC50; JKC96; JKC97; JAH00; JAH01; JAH20; JKD00; JKD10; JAH21; JLC30; JLC40; PJD98; JLC30</w:t>
            </w:r>
          </w:p>
        </w:tc>
      </w:tr>
      <w:tr w:rsidR="007F1E61" w:rsidRPr="009A55BC" w14:paraId="009CD963" w14:textId="77777777" w:rsidTr="009A55BC">
        <w:tc>
          <w:tcPr>
            <w:tcW w:w="1418" w:type="dxa"/>
            <w:tcBorders>
              <w:top w:val="single" w:sz="4" w:space="0" w:color="auto"/>
              <w:left w:val="single" w:sz="4" w:space="0" w:color="auto"/>
              <w:bottom w:val="single" w:sz="4" w:space="0" w:color="auto"/>
              <w:right w:val="single" w:sz="4" w:space="0" w:color="auto"/>
            </w:tcBorders>
          </w:tcPr>
          <w:p w14:paraId="5BC0D90A" w14:textId="7C23BA8C"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14.</w:t>
            </w:r>
          </w:p>
        </w:tc>
        <w:tc>
          <w:tcPr>
            <w:tcW w:w="2332" w:type="dxa"/>
            <w:tcBorders>
              <w:top w:val="single" w:sz="4" w:space="0" w:color="auto"/>
              <w:left w:val="single" w:sz="4" w:space="0" w:color="auto"/>
              <w:bottom w:val="single" w:sz="4" w:space="0" w:color="auto"/>
              <w:right w:val="single" w:sz="4" w:space="0" w:color="auto"/>
            </w:tcBorders>
          </w:tcPr>
          <w:p w14:paraId="10533F42" w14:textId="5EB4D1E2"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 xml:space="preserve">Lūpu, mutes dobuma vai rīkles mutes daļas, </w:t>
            </w:r>
            <w:proofErr w:type="spellStart"/>
            <w:r w:rsidRPr="009A55BC">
              <w:rPr>
                <w:rFonts w:ascii="Times New Roman" w:hAnsi="Times New Roman"/>
                <w:color w:val="000000"/>
                <w:sz w:val="24"/>
                <w:szCs w:val="24"/>
              </w:rPr>
              <w:t>aizdegunes</w:t>
            </w:r>
            <w:proofErr w:type="spellEnd"/>
            <w:r w:rsidRPr="009A55BC">
              <w:rPr>
                <w:rFonts w:ascii="Times New Roman" w:hAnsi="Times New Roman"/>
                <w:color w:val="000000"/>
                <w:sz w:val="24"/>
                <w:szCs w:val="24"/>
              </w:rPr>
              <w:t xml:space="preserve">, deguna dobuma, </w:t>
            </w:r>
            <w:proofErr w:type="spellStart"/>
            <w:r w:rsidRPr="009A55BC">
              <w:rPr>
                <w:rFonts w:ascii="Times New Roman" w:hAnsi="Times New Roman"/>
                <w:color w:val="000000"/>
                <w:sz w:val="24"/>
                <w:szCs w:val="24"/>
              </w:rPr>
              <w:t>blakusdobumu</w:t>
            </w:r>
            <w:proofErr w:type="spellEnd"/>
            <w:r w:rsidRPr="009A55BC">
              <w:rPr>
                <w:rFonts w:ascii="Times New Roman" w:hAnsi="Times New Roman"/>
                <w:color w:val="000000"/>
                <w:sz w:val="24"/>
                <w:szCs w:val="24"/>
              </w:rPr>
              <w:t>, balsenes, trahejas ļaundabīgs audzējs (C00-  C14, C30- C33)</w:t>
            </w:r>
          </w:p>
        </w:tc>
        <w:tc>
          <w:tcPr>
            <w:tcW w:w="1577" w:type="dxa"/>
            <w:tcBorders>
              <w:top w:val="single" w:sz="4" w:space="0" w:color="auto"/>
              <w:left w:val="single" w:sz="4" w:space="0" w:color="auto"/>
              <w:bottom w:val="single" w:sz="4" w:space="0" w:color="auto"/>
              <w:right w:val="single" w:sz="4" w:space="0" w:color="auto"/>
            </w:tcBorders>
          </w:tcPr>
          <w:p w14:paraId="64AE8CA8" w14:textId="59E4C4A2"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7570664" w14:textId="38586C8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DQB20; DQB30; DQB40; DQB50; EAA30; EDB00; EDB10; EEB00; EEB10; EEB20; EEB99; EJB20; EJB30; EJB40; EJB50; EJB60; EJB99; EDB20; ELB30; ELB40; ELB50; ENB20; ENB30; PJD41; PJD51; PJD98; PJD99; PJA10; ENB50; ENB40; BCA30; EDB20; GBC00; GBC03; GBC06; GBC10; GBC96; DQB00</w:t>
            </w:r>
          </w:p>
        </w:tc>
      </w:tr>
      <w:tr w:rsidR="007F1E61" w:rsidRPr="009A55BC" w14:paraId="21251764" w14:textId="77777777" w:rsidTr="009A55BC">
        <w:tc>
          <w:tcPr>
            <w:tcW w:w="1418" w:type="dxa"/>
            <w:tcBorders>
              <w:top w:val="single" w:sz="4" w:space="0" w:color="auto"/>
              <w:left w:val="single" w:sz="4" w:space="0" w:color="auto"/>
              <w:bottom w:val="single" w:sz="4" w:space="0" w:color="auto"/>
              <w:right w:val="single" w:sz="4" w:space="0" w:color="auto"/>
            </w:tcBorders>
          </w:tcPr>
          <w:p w14:paraId="1C4C6124" w14:textId="1D5C4F5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15.</w:t>
            </w:r>
          </w:p>
        </w:tc>
        <w:tc>
          <w:tcPr>
            <w:tcW w:w="2332" w:type="dxa"/>
            <w:tcBorders>
              <w:top w:val="single" w:sz="4" w:space="0" w:color="auto"/>
              <w:left w:val="single" w:sz="4" w:space="0" w:color="auto"/>
              <w:bottom w:val="single" w:sz="4" w:space="0" w:color="auto"/>
              <w:right w:val="single" w:sz="4" w:space="0" w:color="auto"/>
            </w:tcBorders>
          </w:tcPr>
          <w:p w14:paraId="39376212" w14:textId="3347F2D9"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 xml:space="preserve">Acs un acs </w:t>
            </w:r>
            <w:proofErr w:type="spellStart"/>
            <w:r w:rsidRPr="009A55BC">
              <w:rPr>
                <w:rFonts w:ascii="Times New Roman" w:hAnsi="Times New Roman"/>
                <w:sz w:val="24"/>
                <w:szCs w:val="24"/>
              </w:rPr>
              <w:t>palīgorgānu</w:t>
            </w:r>
            <w:proofErr w:type="spellEnd"/>
            <w:r w:rsidRPr="009A55BC">
              <w:rPr>
                <w:rFonts w:ascii="Times New Roman" w:hAnsi="Times New Roman"/>
                <w:sz w:val="24"/>
                <w:szCs w:val="24"/>
              </w:rPr>
              <w:t xml:space="preserve"> ļaundabīgi audzēji, </w:t>
            </w:r>
            <w:proofErr w:type="spellStart"/>
            <w:r w:rsidRPr="009A55BC">
              <w:rPr>
                <w:rFonts w:ascii="Times New Roman" w:hAnsi="Times New Roman"/>
                <w:sz w:val="24"/>
                <w:szCs w:val="24"/>
              </w:rPr>
              <w:t>hamangioma</w:t>
            </w:r>
            <w:proofErr w:type="spellEnd"/>
            <w:r w:rsidRPr="009A55BC">
              <w:rPr>
                <w:rFonts w:ascii="Times New Roman" w:hAnsi="Times New Roman"/>
                <w:sz w:val="24"/>
                <w:szCs w:val="24"/>
              </w:rPr>
              <w:t xml:space="preserve"> un </w:t>
            </w:r>
            <w:proofErr w:type="spellStart"/>
            <w:r w:rsidRPr="009A55BC">
              <w:rPr>
                <w:rFonts w:ascii="Times New Roman" w:hAnsi="Times New Roman"/>
                <w:sz w:val="24"/>
                <w:szCs w:val="24"/>
              </w:rPr>
              <w:t>limfangioma</w:t>
            </w:r>
            <w:proofErr w:type="spellEnd"/>
            <w:r w:rsidRPr="009A55BC">
              <w:rPr>
                <w:rFonts w:ascii="Times New Roman" w:hAnsi="Times New Roman"/>
                <w:sz w:val="24"/>
                <w:szCs w:val="24"/>
              </w:rPr>
              <w:t xml:space="preserve"> (C69, D18).</w:t>
            </w:r>
          </w:p>
        </w:tc>
        <w:tc>
          <w:tcPr>
            <w:tcW w:w="1577" w:type="dxa"/>
            <w:tcBorders>
              <w:top w:val="single" w:sz="4" w:space="0" w:color="auto"/>
              <w:left w:val="single" w:sz="4" w:space="0" w:color="auto"/>
              <w:bottom w:val="single" w:sz="4" w:space="0" w:color="auto"/>
              <w:right w:val="single" w:sz="4" w:space="0" w:color="auto"/>
            </w:tcBorders>
          </w:tcPr>
          <w:p w14:paraId="1CBA102A" w14:textId="38863E54"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24BFCB8A" w14:textId="7777777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CKE60; CKE65; CDC00; CEB00</w:t>
            </w:r>
          </w:p>
          <w:p w14:paraId="290ADF4B" w14:textId="73248314" w:rsidR="007F1E61" w:rsidRPr="009A55BC" w:rsidRDefault="007F1E61" w:rsidP="009A55BC">
            <w:pPr>
              <w:spacing w:line="240" w:lineRule="auto"/>
              <w:contextualSpacing/>
              <w:rPr>
                <w:rFonts w:ascii="Times New Roman" w:hAnsi="Times New Roman"/>
                <w:sz w:val="24"/>
                <w:szCs w:val="24"/>
              </w:rPr>
            </w:pPr>
          </w:p>
        </w:tc>
      </w:tr>
      <w:tr w:rsidR="007F1E61" w:rsidRPr="009A55BC" w14:paraId="537CEFE9" w14:textId="77777777" w:rsidTr="009A55BC">
        <w:tc>
          <w:tcPr>
            <w:tcW w:w="1418" w:type="dxa"/>
            <w:tcBorders>
              <w:top w:val="single" w:sz="4" w:space="0" w:color="auto"/>
              <w:left w:val="single" w:sz="4" w:space="0" w:color="auto"/>
              <w:bottom w:val="single" w:sz="4" w:space="0" w:color="auto"/>
              <w:right w:val="single" w:sz="4" w:space="0" w:color="auto"/>
            </w:tcBorders>
          </w:tcPr>
          <w:p w14:paraId="7EF54EDA" w14:textId="51F807D1"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16.</w:t>
            </w:r>
          </w:p>
        </w:tc>
        <w:tc>
          <w:tcPr>
            <w:tcW w:w="2332" w:type="dxa"/>
            <w:tcBorders>
              <w:top w:val="single" w:sz="4" w:space="0" w:color="auto"/>
              <w:left w:val="single" w:sz="4" w:space="0" w:color="auto"/>
              <w:bottom w:val="single" w:sz="4" w:space="0" w:color="auto"/>
              <w:right w:val="single" w:sz="4" w:space="0" w:color="auto"/>
            </w:tcBorders>
          </w:tcPr>
          <w:p w14:paraId="23DEFCC1" w14:textId="6CF0318A"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Sekundārs smadzeņu un smadzeņu apvalku ļaundabīgs audzējs (C79)</w:t>
            </w:r>
          </w:p>
        </w:tc>
        <w:tc>
          <w:tcPr>
            <w:tcW w:w="1577" w:type="dxa"/>
            <w:tcBorders>
              <w:top w:val="single" w:sz="4" w:space="0" w:color="auto"/>
              <w:left w:val="single" w:sz="4" w:space="0" w:color="auto"/>
              <w:bottom w:val="single" w:sz="4" w:space="0" w:color="auto"/>
              <w:right w:val="single" w:sz="4" w:space="0" w:color="auto"/>
            </w:tcBorders>
          </w:tcPr>
          <w:p w14:paraId="3C933FD2" w14:textId="5FCC79E2"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5</w:t>
            </w:r>
          </w:p>
        </w:tc>
        <w:tc>
          <w:tcPr>
            <w:tcW w:w="4880" w:type="dxa"/>
            <w:tcBorders>
              <w:top w:val="single" w:sz="4" w:space="0" w:color="auto"/>
              <w:left w:val="single" w:sz="4" w:space="0" w:color="auto"/>
              <w:bottom w:val="single" w:sz="4" w:space="0" w:color="auto"/>
              <w:right w:val="single" w:sz="4" w:space="0" w:color="auto"/>
            </w:tcBorders>
          </w:tcPr>
          <w:p w14:paraId="78042E9B" w14:textId="60FECEA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AAB00; AAB10; AAB20; AAB99; AAE00; AAE10; AAE20; AAE30; AAE40; AAE50; AAE99; AAK75; AAK99; ABB00; ABB10; ABB30; ABB99</w:t>
            </w:r>
          </w:p>
        </w:tc>
      </w:tr>
      <w:tr w:rsidR="007F1E61" w:rsidRPr="009A55BC" w14:paraId="76C2DF25" w14:textId="77777777" w:rsidTr="009A55BC">
        <w:tc>
          <w:tcPr>
            <w:tcW w:w="1418" w:type="dxa"/>
            <w:tcBorders>
              <w:top w:val="single" w:sz="4" w:space="0" w:color="auto"/>
              <w:left w:val="single" w:sz="4" w:space="0" w:color="auto"/>
              <w:bottom w:val="single" w:sz="4" w:space="0" w:color="auto"/>
              <w:right w:val="single" w:sz="4" w:space="0" w:color="auto"/>
            </w:tcBorders>
          </w:tcPr>
          <w:p w14:paraId="44AC662E" w14:textId="68C93066"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17.</w:t>
            </w:r>
          </w:p>
        </w:tc>
        <w:tc>
          <w:tcPr>
            <w:tcW w:w="2332" w:type="dxa"/>
            <w:tcBorders>
              <w:top w:val="single" w:sz="4" w:space="0" w:color="auto"/>
              <w:left w:val="single" w:sz="4" w:space="0" w:color="auto"/>
              <w:bottom w:val="single" w:sz="4" w:space="0" w:color="auto"/>
              <w:right w:val="single" w:sz="4" w:space="0" w:color="auto"/>
            </w:tcBorders>
          </w:tcPr>
          <w:p w14:paraId="24D8D731" w14:textId="2A4A8C79"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 xml:space="preserve"> Sekundārs elpošanas un gremošanas orgānu ļaundabīgs audzējs (C78)</w:t>
            </w:r>
          </w:p>
        </w:tc>
        <w:tc>
          <w:tcPr>
            <w:tcW w:w="1577" w:type="dxa"/>
            <w:tcBorders>
              <w:top w:val="single" w:sz="4" w:space="0" w:color="auto"/>
              <w:left w:val="single" w:sz="4" w:space="0" w:color="auto"/>
              <w:bottom w:val="single" w:sz="4" w:space="0" w:color="auto"/>
              <w:right w:val="single" w:sz="4" w:space="0" w:color="auto"/>
            </w:tcBorders>
          </w:tcPr>
          <w:p w14:paraId="2DC43C88" w14:textId="08FBD374"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5C52FD0E" w14:textId="3FEBC648"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GAA31; GAC37; BCA30; DHB00; GAB10; GAC20; GAC43; GAE06; GDB10; GDB20; GDB21; GDB96; GDD00; GEB10; GEC24; JDE96; JFA73; JFB00; JJB10; JJB20; JJB30; JJB40; JJP05; JKA20; JMA10; PJD98; PJD99; GDB11</w:t>
            </w:r>
          </w:p>
        </w:tc>
      </w:tr>
      <w:tr w:rsidR="00A72948" w:rsidRPr="009A55BC" w14:paraId="37838F67" w14:textId="77777777" w:rsidTr="009A55BC">
        <w:trPr>
          <w:trHeight w:val="274"/>
        </w:trPr>
        <w:tc>
          <w:tcPr>
            <w:tcW w:w="1418" w:type="dxa"/>
            <w:tcBorders>
              <w:top w:val="single" w:sz="4" w:space="0" w:color="auto"/>
              <w:left w:val="single" w:sz="4" w:space="0" w:color="auto"/>
              <w:right w:val="single" w:sz="4" w:space="0" w:color="auto"/>
            </w:tcBorders>
          </w:tcPr>
          <w:p w14:paraId="0EAA9B3F" w14:textId="766F4BFB" w:rsidR="00A72948" w:rsidRPr="009A55BC" w:rsidRDefault="00A72948" w:rsidP="009A55BC">
            <w:pPr>
              <w:spacing w:line="240" w:lineRule="auto"/>
              <w:rPr>
                <w:rFonts w:ascii="Times New Roman" w:hAnsi="Times New Roman"/>
                <w:sz w:val="24"/>
                <w:szCs w:val="24"/>
              </w:rPr>
            </w:pPr>
            <w:r w:rsidRPr="009A55BC">
              <w:rPr>
                <w:rFonts w:ascii="Times New Roman" w:hAnsi="Times New Roman"/>
                <w:sz w:val="24"/>
                <w:szCs w:val="24"/>
              </w:rPr>
              <w:lastRenderedPageBreak/>
              <w:t>18.</w:t>
            </w:r>
          </w:p>
        </w:tc>
        <w:tc>
          <w:tcPr>
            <w:tcW w:w="2332" w:type="dxa"/>
            <w:tcBorders>
              <w:top w:val="single" w:sz="4" w:space="0" w:color="auto"/>
              <w:left w:val="single" w:sz="4" w:space="0" w:color="auto"/>
              <w:right w:val="single" w:sz="4" w:space="0" w:color="auto"/>
            </w:tcBorders>
          </w:tcPr>
          <w:p w14:paraId="4212833F" w14:textId="0DA48C39" w:rsidR="00A72948" w:rsidRPr="009A55BC" w:rsidRDefault="00A72948" w:rsidP="009A55BC">
            <w:pPr>
              <w:spacing w:line="240" w:lineRule="auto"/>
              <w:rPr>
                <w:rFonts w:ascii="Times New Roman" w:hAnsi="Times New Roman"/>
                <w:sz w:val="24"/>
                <w:szCs w:val="24"/>
              </w:rPr>
            </w:pPr>
            <w:r w:rsidRPr="009A55BC">
              <w:rPr>
                <w:rFonts w:ascii="Times New Roman" w:hAnsi="Times New Roman"/>
                <w:sz w:val="24"/>
                <w:szCs w:val="24"/>
              </w:rPr>
              <w:t>Muskuļu un skeleta sistēmas ļaundabīgs un labdabīgs audzējs (C40 - C41.9; C49; C76; C79.5; C79.8; D16; D21; D48.0; D48.1)</w:t>
            </w:r>
          </w:p>
        </w:tc>
        <w:tc>
          <w:tcPr>
            <w:tcW w:w="1577" w:type="dxa"/>
            <w:tcBorders>
              <w:top w:val="single" w:sz="4" w:space="0" w:color="auto"/>
              <w:left w:val="single" w:sz="4" w:space="0" w:color="auto"/>
              <w:right w:val="single" w:sz="4" w:space="0" w:color="auto"/>
            </w:tcBorders>
          </w:tcPr>
          <w:p w14:paraId="5B41ED0A" w14:textId="7A48CD78" w:rsidR="00A72948" w:rsidRPr="009A55BC" w:rsidRDefault="00A72948" w:rsidP="009A55BC">
            <w:pPr>
              <w:spacing w:line="240" w:lineRule="auto"/>
              <w:contextualSpacing/>
              <w:rPr>
                <w:rFonts w:ascii="Times New Roman" w:hAnsi="Times New Roman"/>
                <w:sz w:val="24"/>
                <w:szCs w:val="24"/>
              </w:rPr>
            </w:pPr>
            <w:r w:rsidRPr="009A55BC">
              <w:rPr>
                <w:rFonts w:ascii="Times New Roman" w:hAnsi="Times New Roman"/>
                <w:sz w:val="24"/>
                <w:szCs w:val="24"/>
              </w:rPr>
              <w:t>7</w:t>
            </w:r>
          </w:p>
        </w:tc>
        <w:tc>
          <w:tcPr>
            <w:tcW w:w="4880" w:type="dxa"/>
            <w:tcBorders>
              <w:top w:val="single" w:sz="4" w:space="0" w:color="auto"/>
              <w:left w:val="single" w:sz="4" w:space="0" w:color="auto"/>
              <w:right w:val="single" w:sz="4" w:space="0" w:color="auto"/>
            </w:tcBorders>
          </w:tcPr>
          <w:p w14:paraId="0B2F7AB8" w14:textId="5AAB5A74" w:rsidR="00A72948" w:rsidRPr="009A55BC" w:rsidRDefault="00A72948" w:rsidP="009A55BC">
            <w:pPr>
              <w:spacing w:line="240" w:lineRule="auto"/>
              <w:contextualSpacing/>
              <w:rPr>
                <w:rFonts w:ascii="Times New Roman" w:hAnsi="Times New Roman"/>
                <w:sz w:val="24"/>
                <w:szCs w:val="24"/>
              </w:rPr>
            </w:pPr>
            <w:r w:rsidRPr="009A55BC">
              <w:rPr>
                <w:rFonts w:ascii="Times New Roman" w:hAnsi="Times New Roman"/>
                <w:sz w:val="24"/>
                <w:szCs w:val="24"/>
              </w:rPr>
              <w:t>NAA22; NAA30; NAA32; NAR; NBA22; NBA30; NBA32; NBR; NCA22; NCA30; NCA32; NCR; NDA22; NDA30; NDA32; NDR; NEA22; NEA30; NEA32; NER; NFA22; NFA30; NFA32; NFR; NGA22; NGA30; NGA32; NGR; NHA22; NHA30; NHA32; NHR; ACA19; ACA99; NDL50; PBA99; PJD4; PJD45</w:t>
            </w:r>
            <w:r w:rsidR="00077306" w:rsidRPr="009A55BC">
              <w:rPr>
                <w:rFonts w:ascii="Times New Roman" w:hAnsi="Times New Roman"/>
                <w:sz w:val="24"/>
                <w:szCs w:val="24"/>
              </w:rPr>
              <w:t xml:space="preserve">; </w:t>
            </w:r>
            <w:r w:rsidRPr="009A55BC">
              <w:rPr>
                <w:rFonts w:ascii="Times New Roman" w:hAnsi="Times New Roman"/>
                <w:sz w:val="24"/>
                <w:szCs w:val="24"/>
              </w:rPr>
              <w:t>QAE10</w:t>
            </w:r>
            <w:r w:rsidR="00077306" w:rsidRPr="009A55BC">
              <w:rPr>
                <w:rFonts w:ascii="Times New Roman" w:hAnsi="Times New Roman"/>
                <w:sz w:val="24"/>
                <w:szCs w:val="24"/>
              </w:rPr>
              <w:t>;</w:t>
            </w:r>
            <w:r w:rsidRPr="009A55BC">
              <w:rPr>
                <w:rFonts w:ascii="Times New Roman" w:hAnsi="Times New Roman"/>
                <w:sz w:val="24"/>
                <w:szCs w:val="24"/>
              </w:rPr>
              <w:t xml:space="preserve"> QBE10</w:t>
            </w:r>
            <w:r w:rsidR="00077306" w:rsidRPr="009A55BC">
              <w:rPr>
                <w:rFonts w:ascii="Times New Roman" w:hAnsi="Times New Roman"/>
                <w:sz w:val="24"/>
                <w:szCs w:val="24"/>
              </w:rPr>
              <w:t>;</w:t>
            </w:r>
            <w:r w:rsidRPr="009A55BC">
              <w:rPr>
                <w:rFonts w:ascii="Times New Roman" w:hAnsi="Times New Roman"/>
                <w:sz w:val="24"/>
                <w:szCs w:val="24"/>
              </w:rPr>
              <w:t xml:space="preserve"> QCE10</w:t>
            </w:r>
            <w:r w:rsidR="00077306" w:rsidRPr="009A55BC">
              <w:rPr>
                <w:rFonts w:ascii="Times New Roman" w:hAnsi="Times New Roman"/>
                <w:sz w:val="24"/>
                <w:szCs w:val="24"/>
              </w:rPr>
              <w:t>;</w:t>
            </w:r>
            <w:r w:rsidRPr="009A55BC">
              <w:rPr>
                <w:rFonts w:ascii="Times New Roman" w:hAnsi="Times New Roman"/>
                <w:sz w:val="24"/>
                <w:szCs w:val="24"/>
              </w:rPr>
              <w:t xml:space="preserve"> QCE20</w:t>
            </w:r>
            <w:r w:rsidR="00077306" w:rsidRPr="009A55BC">
              <w:rPr>
                <w:rFonts w:ascii="Times New Roman" w:hAnsi="Times New Roman"/>
                <w:sz w:val="24"/>
                <w:szCs w:val="24"/>
              </w:rPr>
              <w:t>;</w:t>
            </w:r>
            <w:r w:rsidRPr="009A55BC">
              <w:rPr>
                <w:rFonts w:ascii="Times New Roman" w:hAnsi="Times New Roman"/>
                <w:sz w:val="24"/>
                <w:szCs w:val="24"/>
              </w:rPr>
              <w:t xml:space="preserve"> QDE10</w:t>
            </w:r>
            <w:r w:rsidR="00077306" w:rsidRPr="009A55BC">
              <w:rPr>
                <w:rFonts w:ascii="Times New Roman" w:hAnsi="Times New Roman"/>
                <w:sz w:val="24"/>
                <w:szCs w:val="24"/>
              </w:rPr>
              <w:t>;</w:t>
            </w:r>
            <w:r w:rsidRPr="009A55BC">
              <w:rPr>
                <w:rFonts w:ascii="Times New Roman" w:hAnsi="Times New Roman"/>
                <w:sz w:val="24"/>
                <w:szCs w:val="24"/>
              </w:rPr>
              <w:t xml:space="preserve"> QDE20</w:t>
            </w:r>
            <w:r w:rsidR="00077306" w:rsidRPr="009A55BC">
              <w:rPr>
                <w:rFonts w:ascii="Times New Roman" w:hAnsi="Times New Roman"/>
                <w:sz w:val="24"/>
                <w:szCs w:val="24"/>
              </w:rPr>
              <w:t>;</w:t>
            </w:r>
            <w:r w:rsidRPr="009A55BC">
              <w:rPr>
                <w:rFonts w:ascii="Times New Roman" w:hAnsi="Times New Roman"/>
                <w:sz w:val="24"/>
                <w:szCs w:val="24"/>
              </w:rPr>
              <w:t xml:space="preserve"> TPH15</w:t>
            </w:r>
            <w:r w:rsidR="00077306" w:rsidRPr="009A55BC">
              <w:rPr>
                <w:rFonts w:ascii="Times New Roman" w:hAnsi="Times New Roman"/>
                <w:sz w:val="24"/>
                <w:szCs w:val="24"/>
              </w:rPr>
              <w:t>;</w:t>
            </w:r>
            <w:r w:rsidRPr="009A55BC">
              <w:rPr>
                <w:rFonts w:ascii="Times New Roman" w:hAnsi="Times New Roman"/>
                <w:sz w:val="24"/>
                <w:szCs w:val="24"/>
              </w:rPr>
              <w:t xml:space="preserve"> TPH20</w:t>
            </w:r>
            <w:r w:rsidR="00077306" w:rsidRPr="009A55BC">
              <w:rPr>
                <w:rFonts w:ascii="Times New Roman" w:hAnsi="Times New Roman"/>
                <w:sz w:val="24"/>
                <w:szCs w:val="24"/>
              </w:rPr>
              <w:t>;</w:t>
            </w:r>
            <w:r w:rsidRPr="009A55BC">
              <w:rPr>
                <w:rFonts w:ascii="Times New Roman" w:hAnsi="Times New Roman"/>
                <w:sz w:val="24"/>
                <w:szCs w:val="24"/>
              </w:rPr>
              <w:t xml:space="preserve"> UGC12</w:t>
            </w:r>
            <w:r w:rsidR="00077306" w:rsidRPr="009A55BC">
              <w:rPr>
                <w:rFonts w:ascii="Times New Roman" w:hAnsi="Times New Roman"/>
                <w:sz w:val="24"/>
                <w:szCs w:val="24"/>
              </w:rPr>
              <w:t>;</w:t>
            </w:r>
            <w:r w:rsidRPr="009A55BC">
              <w:rPr>
                <w:rFonts w:ascii="Times New Roman" w:hAnsi="Times New Roman"/>
                <w:sz w:val="24"/>
                <w:szCs w:val="24"/>
              </w:rPr>
              <w:t xml:space="preserve"> ZZA00</w:t>
            </w:r>
            <w:r w:rsidR="00A81C85" w:rsidRPr="009A55BC">
              <w:rPr>
                <w:rFonts w:ascii="Times New Roman" w:hAnsi="Times New Roman"/>
                <w:sz w:val="24"/>
                <w:szCs w:val="24"/>
              </w:rPr>
              <w:t>;</w:t>
            </w:r>
            <w:r w:rsidRPr="009A55BC">
              <w:rPr>
                <w:rFonts w:ascii="Times New Roman" w:hAnsi="Times New Roman"/>
                <w:sz w:val="24"/>
                <w:szCs w:val="24"/>
              </w:rPr>
              <w:t xml:space="preserve"> ZZQ00</w:t>
            </w:r>
            <w:r w:rsidR="00A81C85" w:rsidRPr="009A55BC">
              <w:rPr>
                <w:rFonts w:ascii="Times New Roman" w:hAnsi="Times New Roman"/>
                <w:sz w:val="24"/>
                <w:szCs w:val="24"/>
              </w:rPr>
              <w:t>;</w:t>
            </w:r>
            <w:r w:rsidRPr="009A55BC">
              <w:rPr>
                <w:rFonts w:ascii="Times New Roman" w:hAnsi="Times New Roman"/>
                <w:sz w:val="24"/>
                <w:szCs w:val="24"/>
              </w:rPr>
              <w:t xml:space="preserve"> ZZQ20</w:t>
            </w:r>
            <w:r w:rsidR="00A81C85" w:rsidRPr="009A55BC">
              <w:rPr>
                <w:rFonts w:ascii="Times New Roman" w:hAnsi="Times New Roman"/>
                <w:sz w:val="24"/>
                <w:szCs w:val="24"/>
              </w:rPr>
              <w:t>;</w:t>
            </w:r>
            <w:r w:rsidRPr="009A55BC">
              <w:rPr>
                <w:rFonts w:ascii="Times New Roman" w:hAnsi="Times New Roman"/>
                <w:sz w:val="24"/>
                <w:szCs w:val="24"/>
              </w:rPr>
              <w:t xml:space="preserve"> ZZR00</w:t>
            </w:r>
            <w:r w:rsidR="00A81C85" w:rsidRPr="009A55BC">
              <w:rPr>
                <w:rFonts w:ascii="Times New Roman" w:hAnsi="Times New Roman"/>
                <w:sz w:val="24"/>
                <w:szCs w:val="24"/>
              </w:rPr>
              <w:t>;</w:t>
            </w:r>
            <w:r w:rsidRPr="009A55BC">
              <w:rPr>
                <w:rFonts w:ascii="Times New Roman" w:hAnsi="Times New Roman"/>
                <w:sz w:val="24"/>
                <w:szCs w:val="24"/>
              </w:rPr>
              <w:t xml:space="preserve"> ZZS00</w:t>
            </w:r>
            <w:r w:rsidR="00A81C85" w:rsidRPr="009A55BC">
              <w:rPr>
                <w:rFonts w:ascii="Times New Roman" w:hAnsi="Times New Roman"/>
                <w:sz w:val="24"/>
                <w:szCs w:val="24"/>
              </w:rPr>
              <w:t>;</w:t>
            </w:r>
            <w:r w:rsidRPr="009A55BC">
              <w:rPr>
                <w:rFonts w:ascii="Times New Roman" w:hAnsi="Times New Roman"/>
                <w:sz w:val="24"/>
                <w:szCs w:val="24"/>
              </w:rPr>
              <w:t xml:space="preserve"> ZZS10</w:t>
            </w:r>
          </w:p>
        </w:tc>
      </w:tr>
      <w:bookmarkEnd w:id="4"/>
    </w:tbl>
    <w:p w14:paraId="281F0956" w14:textId="77777777" w:rsidR="005D7B31" w:rsidRPr="009A55BC" w:rsidRDefault="005D7B31" w:rsidP="005D7B31">
      <w:pPr>
        <w:pStyle w:val="tv213"/>
        <w:spacing w:before="0" w:beforeAutospacing="0"/>
        <w:jc w:val="both"/>
      </w:pPr>
    </w:p>
    <w:p w14:paraId="744EEEA1" w14:textId="77777777" w:rsidR="00955933" w:rsidRPr="009A55BC" w:rsidRDefault="00955933" w:rsidP="005D7B31">
      <w:pPr>
        <w:pStyle w:val="tv213"/>
        <w:spacing w:before="0" w:beforeAutospacing="0"/>
        <w:jc w:val="both"/>
      </w:pPr>
    </w:p>
    <w:p w14:paraId="12727EE3" w14:textId="77777777" w:rsidR="00955933" w:rsidRPr="009A55BC" w:rsidRDefault="00955933" w:rsidP="005D7B31">
      <w:pPr>
        <w:pStyle w:val="tv213"/>
        <w:spacing w:before="0" w:beforeAutospacing="0"/>
        <w:jc w:val="both"/>
      </w:pPr>
    </w:p>
    <w:sectPr w:rsidR="00955933" w:rsidRPr="009A55BC" w:rsidSect="00547D80">
      <w:headerReference w:type="even" r:id="rId8"/>
      <w:headerReference w:type="default" r:id="rId9"/>
      <w:footerReference w:type="even" r:id="rId10"/>
      <w:footerReference w:type="default" r:id="rId11"/>
      <w:headerReference w:type="first" r:id="rId12"/>
      <w:footerReference w:type="first" r:id="rId13"/>
      <w:pgSz w:w="11906" w:h="16838"/>
      <w:pgMar w:top="851" w:right="1276"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5E186" w14:textId="77777777" w:rsidR="00E206AF" w:rsidRDefault="00E206AF" w:rsidP="00ED330E">
      <w:pPr>
        <w:spacing w:after="0" w:line="240" w:lineRule="auto"/>
      </w:pPr>
      <w:r>
        <w:separator/>
      </w:r>
    </w:p>
  </w:endnote>
  <w:endnote w:type="continuationSeparator" w:id="0">
    <w:p w14:paraId="33D84CE2" w14:textId="77777777" w:rsidR="00E206AF" w:rsidRDefault="00E206AF" w:rsidP="00ED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FCF" w14:textId="77777777" w:rsidR="00DD0B42" w:rsidRDefault="00DD0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267210"/>
      <w:docPartObj>
        <w:docPartGallery w:val="Page Numbers (Bottom of Page)"/>
        <w:docPartUnique/>
      </w:docPartObj>
    </w:sdtPr>
    <w:sdtEndPr>
      <w:rPr>
        <w:noProof/>
      </w:rPr>
    </w:sdtEndPr>
    <w:sdtContent>
      <w:p w14:paraId="4B856BE3" w14:textId="56C4B94D" w:rsidR="00124971" w:rsidRDefault="001249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219EB" w14:textId="77777777" w:rsidR="00124971" w:rsidRDefault="001249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2374" w14:textId="77777777" w:rsidR="00DD0B42" w:rsidRDefault="00DD0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EAF7" w14:textId="77777777" w:rsidR="00E206AF" w:rsidRDefault="00E206AF" w:rsidP="00ED330E">
      <w:pPr>
        <w:spacing w:after="0" w:line="240" w:lineRule="auto"/>
      </w:pPr>
      <w:r>
        <w:separator/>
      </w:r>
    </w:p>
  </w:footnote>
  <w:footnote w:type="continuationSeparator" w:id="0">
    <w:p w14:paraId="0D0E0DB6" w14:textId="77777777" w:rsidR="00E206AF" w:rsidRDefault="00E206AF" w:rsidP="00ED3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20E8" w14:textId="77777777" w:rsidR="00DD0B42" w:rsidRDefault="00DD0B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DB7E" w14:textId="77777777" w:rsidR="00DD0B42" w:rsidRPr="00DD0B42" w:rsidRDefault="00DD0B42" w:rsidP="00DD0B42">
    <w:pPr>
      <w:pStyle w:val="Header"/>
      <w:jc w:val="right"/>
      <w:rPr>
        <w:rFonts w:ascii="Times New Roman" w:hAnsi="Times New Roman"/>
      </w:rPr>
    </w:pPr>
    <w:r w:rsidRPr="00DD0B42">
      <w:rPr>
        <w:rFonts w:ascii="Times New Roman" w:hAnsi="Times New Roman"/>
        <w:i/>
        <w:iCs/>
      </w:rPr>
      <w:t>spēkā no 2025. gada 1. janvāra</w:t>
    </w:r>
  </w:p>
  <w:p w14:paraId="318C0172" w14:textId="77777777" w:rsidR="00DD0B42" w:rsidRPr="00DD0B42" w:rsidRDefault="00DD0B42">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89C5" w14:textId="77777777" w:rsidR="00DD0B42" w:rsidRDefault="00DD0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F9A"/>
    <w:multiLevelType w:val="hybridMultilevel"/>
    <w:tmpl w:val="77268090"/>
    <w:lvl w:ilvl="0" w:tplc="C152E83A">
      <w:numFmt w:val="bullet"/>
      <w:lvlText w:val=""/>
      <w:lvlJc w:val="left"/>
      <w:pPr>
        <w:ind w:left="1364" w:hanging="360"/>
      </w:pPr>
      <w:rPr>
        <w:rFonts w:ascii="Symbol" w:eastAsiaTheme="minorHAnsi" w:hAnsi="Symbol"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 w15:restartNumberingAfterBreak="0">
    <w:nsid w:val="015D7A17"/>
    <w:multiLevelType w:val="hybridMultilevel"/>
    <w:tmpl w:val="B9269A98"/>
    <w:lvl w:ilvl="0" w:tplc="9CE8DE6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73032EA"/>
    <w:multiLevelType w:val="multilevel"/>
    <w:tmpl w:val="1534AD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1E54AE"/>
    <w:multiLevelType w:val="hybridMultilevel"/>
    <w:tmpl w:val="A22037BA"/>
    <w:lvl w:ilvl="0" w:tplc="C074B45A">
      <w:start w:val="1"/>
      <w:numFmt w:val="decimal"/>
      <w:lvlText w:val="%1)"/>
      <w:lvlJc w:val="left"/>
      <w:pPr>
        <w:ind w:left="720" w:hanging="360"/>
      </w:pPr>
    </w:lvl>
    <w:lvl w:ilvl="1" w:tplc="6A12CAE4">
      <w:start w:val="1"/>
      <w:numFmt w:val="decimal"/>
      <w:lvlText w:val="%2."/>
      <w:lvlJc w:val="left"/>
      <w:pPr>
        <w:ind w:left="1440" w:hanging="360"/>
      </w:pPr>
      <w:rPr>
        <w:rFonts w:hint="default"/>
      </w:rPr>
    </w:lvl>
    <w:lvl w:ilvl="2" w:tplc="4476F3FE" w:tentative="1">
      <w:start w:val="1"/>
      <w:numFmt w:val="lowerRoman"/>
      <w:lvlText w:val="%3."/>
      <w:lvlJc w:val="right"/>
      <w:pPr>
        <w:ind w:left="2160" w:hanging="180"/>
      </w:pPr>
    </w:lvl>
    <w:lvl w:ilvl="3" w:tplc="220A1EDC" w:tentative="1">
      <w:start w:val="1"/>
      <w:numFmt w:val="decimal"/>
      <w:lvlText w:val="%4."/>
      <w:lvlJc w:val="left"/>
      <w:pPr>
        <w:ind w:left="2880" w:hanging="360"/>
      </w:pPr>
    </w:lvl>
    <w:lvl w:ilvl="4" w:tplc="3544C1BC" w:tentative="1">
      <w:start w:val="1"/>
      <w:numFmt w:val="lowerLetter"/>
      <w:lvlText w:val="%5."/>
      <w:lvlJc w:val="left"/>
      <w:pPr>
        <w:ind w:left="3600" w:hanging="360"/>
      </w:pPr>
    </w:lvl>
    <w:lvl w:ilvl="5" w:tplc="F5E01E56" w:tentative="1">
      <w:start w:val="1"/>
      <w:numFmt w:val="lowerRoman"/>
      <w:lvlText w:val="%6."/>
      <w:lvlJc w:val="right"/>
      <w:pPr>
        <w:ind w:left="4320" w:hanging="180"/>
      </w:pPr>
    </w:lvl>
    <w:lvl w:ilvl="6" w:tplc="193A3CCA" w:tentative="1">
      <w:start w:val="1"/>
      <w:numFmt w:val="decimal"/>
      <w:lvlText w:val="%7."/>
      <w:lvlJc w:val="left"/>
      <w:pPr>
        <w:ind w:left="5040" w:hanging="360"/>
      </w:pPr>
    </w:lvl>
    <w:lvl w:ilvl="7" w:tplc="8F589F30" w:tentative="1">
      <w:start w:val="1"/>
      <w:numFmt w:val="lowerLetter"/>
      <w:lvlText w:val="%8."/>
      <w:lvlJc w:val="left"/>
      <w:pPr>
        <w:ind w:left="5760" w:hanging="360"/>
      </w:pPr>
    </w:lvl>
    <w:lvl w:ilvl="8" w:tplc="7D6E7FF4" w:tentative="1">
      <w:start w:val="1"/>
      <w:numFmt w:val="lowerRoman"/>
      <w:lvlText w:val="%9."/>
      <w:lvlJc w:val="right"/>
      <w:pPr>
        <w:ind w:left="6480" w:hanging="180"/>
      </w:pPr>
    </w:lvl>
  </w:abstractNum>
  <w:abstractNum w:abstractNumId="4" w15:restartNumberingAfterBreak="0">
    <w:nsid w:val="1B221691"/>
    <w:multiLevelType w:val="hybridMultilevel"/>
    <w:tmpl w:val="DBA60372"/>
    <w:lvl w:ilvl="0" w:tplc="0426000D">
      <w:start w:val="1"/>
      <w:numFmt w:val="bullet"/>
      <w:lvlText w:val=""/>
      <w:lvlJc w:val="left"/>
      <w:pPr>
        <w:ind w:left="1506" w:hanging="360"/>
      </w:pPr>
      <w:rPr>
        <w:rFonts w:ascii="Wingdings" w:hAnsi="Wingdings"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5" w15:restartNumberingAfterBreak="0">
    <w:nsid w:val="1D143818"/>
    <w:multiLevelType w:val="hybridMultilevel"/>
    <w:tmpl w:val="0980F604"/>
    <w:lvl w:ilvl="0" w:tplc="F8D01064">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E1E1D39"/>
    <w:multiLevelType w:val="hybridMultilevel"/>
    <w:tmpl w:val="8DF68452"/>
    <w:lvl w:ilvl="0" w:tplc="DCA8DDF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566DB0"/>
    <w:multiLevelType w:val="hybridMultilevel"/>
    <w:tmpl w:val="8E3040CC"/>
    <w:lvl w:ilvl="0" w:tplc="04260001">
      <w:start w:val="1"/>
      <w:numFmt w:val="bullet"/>
      <w:lvlText w:val=""/>
      <w:lvlJc w:val="left"/>
      <w:pPr>
        <w:ind w:left="1648" w:hanging="360"/>
      </w:pPr>
      <w:rPr>
        <w:rFonts w:ascii="Symbol" w:hAnsi="Symbol"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8"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DE0797"/>
    <w:multiLevelType w:val="hybridMultilevel"/>
    <w:tmpl w:val="BA305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CB606B"/>
    <w:multiLevelType w:val="hybridMultilevel"/>
    <w:tmpl w:val="7B5035E6"/>
    <w:lvl w:ilvl="0" w:tplc="284C3592">
      <w:numFmt w:val="bullet"/>
      <w:lvlText w:val=""/>
      <w:lvlJc w:val="left"/>
      <w:pPr>
        <w:ind w:left="1724" w:hanging="360"/>
      </w:pPr>
      <w:rPr>
        <w:rFonts w:ascii="Symbol" w:eastAsiaTheme="minorHAnsi" w:hAnsi="Symbol" w:cs="Times New Roman"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1" w15:restartNumberingAfterBreak="0">
    <w:nsid w:val="3B822A77"/>
    <w:multiLevelType w:val="hybridMultilevel"/>
    <w:tmpl w:val="1F1CEF3E"/>
    <w:lvl w:ilvl="0" w:tplc="0426000F">
      <w:start w:val="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3334B5"/>
    <w:multiLevelType w:val="hybridMultilevel"/>
    <w:tmpl w:val="B2E8FD2E"/>
    <w:lvl w:ilvl="0" w:tplc="3B7ED910">
      <w:start w:val="1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3" w15:restartNumberingAfterBreak="0">
    <w:nsid w:val="3FF4344A"/>
    <w:multiLevelType w:val="hybridMultilevel"/>
    <w:tmpl w:val="19D20760"/>
    <w:lvl w:ilvl="0" w:tplc="3E9AE7D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07621B"/>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370830"/>
    <w:multiLevelType w:val="hybridMultilevel"/>
    <w:tmpl w:val="4184E010"/>
    <w:lvl w:ilvl="0" w:tplc="E6444A2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9C1FFD"/>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A827B2"/>
    <w:multiLevelType w:val="hybridMultilevel"/>
    <w:tmpl w:val="A630F252"/>
    <w:lvl w:ilvl="0" w:tplc="B0622E9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5F18BB"/>
    <w:multiLevelType w:val="hybridMultilevel"/>
    <w:tmpl w:val="BF34C460"/>
    <w:lvl w:ilvl="0" w:tplc="8F02A73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A9383F"/>
    <w:multiLevelType w:val="hybridMultilevel"/>
    <w:tmpl w:val="11BCABBE"/>
    <w:lvl w:ilvl="0" w:tplc="748482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5D3F125F"/>
    <w:multiLevelType w:val="multilevel"/>
    <w:tmpl w:val="AE66143A"/>
    <w:lvl w:ilvl="0">
      <w:start w:val="1"/>
      <w:numFmt w:val="decimal"/>
      <w:lvlText w:val="%1."/>
      <w:lvlJc w:val="left"/>
      <w:pPr>
        <w:ind w:left="644" w:hanging="360"/>
      </w:pPr>
      <w:rPr>
        <w:rFonts w:ascii="Times New Roman" w:eastAsia="Calibri" w:hAnsi="Times New Roman" w:cs="Times New Roman"/>
        <w:b w:val="0"/>
      </w:rPr>
    </w:lvl>
    <w:lvl w:ilvl="1">
      <w:start w:val="1"/>
      <w:numFmt w:val="decimal"/>
      <w:isLgl/>
      <w:lvlText w:val="%1.%2."/>
      <w:lvlJc w:val="left"/>
      <w:pPr>
        <w:ind w:left="5180"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2" w15:restartNumberingAfterBreak="0">
    <w:nsid w:val="62DD0230"/>
    <w:multiLevelType w:val="hybridMultilevel"/>
    <w:tmpl w:val="F4725940"/>
    <w:lvl w:ilvl="0" w:tplc="58F4E630">
      <w:start w:val="1"/>
      <w:numFmt w:val="upp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E34258"/>
    <w:multiLevelType w:val="hybridMultilevel"/>
    <w:tmpl w:val="DA92B2B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6B806B9D"/>
    <w:multiLevelType w:val="hybridMultilevel"/>
    <w:tmpl w:val="BF1AFBD4"/>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CC4B88"/>
    <w:multiLevelType w:val="hybridMultilevel"/>
    <w:tmpl w:val="C07CD68A"/>
    <w:lvl w:ilvl="0" w:tplc="990023F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80736"/>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8E63CE"/>
    <w:multiLevelType w:val="hybridMultilevel"/>
    <w:tmpl w:val="109A2280"/>
    <w:lvl w:ilvl="0" w:tplc="4050BD62">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B14146B"/>
    <w:multiLevelType w:val="hybridMultilevel"/>
    <w:tmpl w:val="A2924706"/>
    <w:lvl w:ilvl="0" w:tplc="437EC82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5014619">
    <w:abstractNumId w:val="17"/>
  </w:num>
  <w:num w:numId="2" w16cid:durableId="1925064375">
    <w:abstractNumId w:val="8"/>
  </w:num>
  <w:num w:numId="3" w16cid:durableId="1698701851">
    <w:abstractNumId w:val="24"/>
  </w:num>
  <w:num w:numId="4" w16cid:durableId="2016105167">
    <w:abstractNumId w:val="1"/>
  </w:num>
  <w:num w:numId="5" w16cid:durableId="298927247">
    <w:abstractNumId w:val="12"/>
  </w:num>
  <w:num w:numId="6" w16cid:durableId="1636832979">
    <w:abstractNumId w:val="20"/>
  </w:num>
  <w:num w:numId="7" w16cid:durableId="1431313968">
    <w:abstractNumId w:val="16"/>
  </w:num>
  <w:num w:numId="8" w16cid:durableId="647825142">
    <w:abstractNumId w:val="26"/>
  </w:num>
  <w:num w:numId="9" w16cid:durableId="659580973">
    <w:abstractNumId w:val="21"/>
  </w:num>
  <w:num w:numId="10" w16cid:durableId="914364878">
    <w:abstractNumId w:val="14"/>
  </w:num>
  <w:num w:numId="11" w16cid:durableId="189078084">
    <w:abstractNumId w:val="0"/>
  </w:num>
  <w:num w:numId="12" w16cid:durableId="1728602660">
    <w:abstractNumId w:val="10"/>
  </w:num>
  <w:num w:numId="13" w16cid:durableId="1772705166">
    <w:abstractNumId w:val="6"/>
  </w:num>
  <w:num w:numId="14" w16cid:durableId="1055277222">
    <w:abstractNumId w:val="5"/>
  </w:num>
  <w:num w:numId="15" w16cid:durableId="13190574">
    <w:abstractNumId w:val="15"/>
  </w:num>
  <w:num w:numId="16" w16cid:durableId="1721317740">
    <w:abstractNumId w:val="27"/>
  </w:num>
  <w:num w:numId="17" w16cid:durableId="1174803667">
    <w:abstractNumId w:val="28"/>
  </w:num>
  <w:num w:numId="18" w16cid:durableId="1194267413">
    <w:abstractNumId w:val="22"/>
  </w:num>
  <w:num w:numId="19" w16cid:durableId="453794951">
    <w:abstractNumId w:val="19"/>
  </w:num>
  <w:num w:numId="20" w16cid:durableId="1004356159">
    <w:abstractNumId w:val="18"/>
  </w:num>
  <w:num w:numId="21" w16cid:durableId="1381054176">
    <w:abstractNumId w:val="25"/>
  </w:num>
  <w:num w:numId="22" w16cid:durableId="1089041073">
    <w:abstractNumId w:val="21"/>
  </w:num>
  <w:num w:numId="23" w16cid:durableId="789124648">
    <w:abstractNumId w:val="13"/>
  </w:num>
  <w:num w:numId="24" w16cid:durableId="663515294">
    <w:abstractNumId w:val="7"/>
  </w:num>
  <w:num w:numId="25" w16cid:durableId="1356614087">
    <w:abstractNumId w:val="11"/>
  </w:num>
  <w:num w:numId="26" w16cid:durableId="729109348">
    <w:abstractNumId w:val="23"/>
  </w:num>
  <w:num w:numId="27" w16cid:durableId="1109083037">
    <w:abstractNumId w:val="4"/>
  </w:num>
  <w:num w:numId="28" w16cid:durableId="1254781207">
    <w:abstractNumId w:val="2"/>
  </w:num>
  <w:num w:numId="29" w16cid:durableId="2046327477">
    <w:abstractNumId w:val="3"/>
  </w:num>
  <w:num w:numId="30" w16cid:durableId="883099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351B"/>
    <w:rsid w:val="000038C9"/>
    <w:rsid w:val="00013933"/>
    <w:rsid w:val="00017F07"/>
    <w:rsid w:val="00020955"/>
    <w:rsid w:val="00023F8D"/>
    <w:rsid w:val="000256DB"/>
    <w:rsid w:val="000275A3"/>
    <w:rsid w:val="00034330"/>
    <w:rsid w:val="0003452B"/>
    <w:rsid w:val="000350CC"/>
    <w:rsid w:val="0004146E"/>
    <w:rsid w:val="00045BE3"/>
    <w:rsid w:val="00055AE0"/>
    <w:rsid w:val="00065FC6"/>
    <w:rsid w:val="0007242C"/>
    <w:rsid w:val="00077306"/>
    <w:rsid w:val="0007762A"/>
    <w:rsid w:val="000801F2"/>
    <w:rsid w:val="000806A2"/>
    <w:rsid w:val="000857B9"/>
    <w:rsid w:val="000857CB"/>
    <w:rsid w:val="00087DDE"/>
    <w:rsid w:val="00092621"/>
    <w:rsid w:val="000A587A"/>
    <w:rsid w:val="000A7DDD"/>
    <w:rsid w:val="000B2AEF"/>
    <w:rsid w:val="000B63EF"/>
    <w:rsid w:val="000B6A3A"/>
    <w:rsid w:val="000C0668"/>
    <w:rsid w:val="000C0B72"/>
    <w:rsid w:val="000C4460"/>
    <w:rsid w:val="000C5C46"/>
    <w:rsid w:val="000C6AEA"/>
    <w:rsid w:val="000C6E04"/>
    <w:rsid w:val="000D65A9"/>
    <w:rsid w:val="000D696E"/>
    <w:rsid w:val="000D6B03"/>
    <w:rsid w:val="000E3041"/>
    <w:rsid w:val="000E6889"/>
    <w:rsid w:val="000E77C8"/>
    <w:rsid w:val="000F2874"/>
    <w:rsid w:val="000F59F6"/>
    <w:rsid w:val="00103052"/>
    <w:rsid w:val="00103E95"/>
    <w:rsid w:val="00103ED3"/>
    <w:rsid w:val="0011341A"/>
    <w:rsid w:val="00121B47"/>
    <w:rsid w:val="00124971"/>
    <w:rsid w:val="00125E3D"/>
    <w:rsid w:val="00125FF2"/>
    <w:rsid w:val="00126401"/>
    <w:rsid w:val="00126876"/>
    <w:rsid w:val="0014604A"/>
    <w:rsid w:val="001503C1"/>
    <w:rsid w:val="001538CC"/>
    <w:rsid w:val="00157DD5"/>
    <w:rsid w:val="0016397B"/>
    <w:rsid w:val="00166380"/>
    <w:rsid w:val="00176BC7"/>
    <w:rsid w:val="00183302"/>
    <w:rsid w:val="00185313"/>
    <w:rsid w:val="00186DE3"/>
    <w:rsid w:val="0018715D"/>
    <w:rsid w:val="0019203C"/>
    <w:rsid w:val="001951D5"/>
    <w:rsid w:val="001976F9"/>
    <w:rsid w:val="001A16F3"/>
    <w:rsid w:val="001A3484"/>
    <w:rsid w:val="001A6E0C"/>
    <w:rsid w:val="001A772C"/>
    <w:rsid w:val="001B2602"/>
    <w:rsid w:val="001B408A"/>
    <w:rsid w:val="001C0F45"/>
    <w:rsid w:val="001C224B"/>
    <w:rsid w:val="001C7239"/>
    <w:rsid w:val="001D784B"/>
    <w:rsid w:val="001D7F16"/>
    <w:rsid w:val="001E5348"/>
    <w:rsid w:val="001E5C9D"/>
    <w:rsid w:val="001F33D5"/>
    <w:rsid w:val="001F5845"/>
    <w:rsid w:val="002077E4"/>
    <w:rsid w:val="0021037C"/>
    <w:rsid w:val="002110B0"/>
    <w:rsid w:val="00213471"/>
    <w:rsid w:val="002137DD"/>
    <w:rsid w:val="00213DFB"/>
    <w:rsid w:val="00215AE4"/>
    <w:rsid w:val="002232CB"/>
    <w:rsid w:val="00223678"/>
    <w:rsid w:val="0022423E"/>
    <w:rsid w:val="0022581A"/>
    <w:rsid w:val="002304CB"/>
    <w:rsid w:val="002342BE"/>
    <w:rsid w:val="002361A9"/>
    <w:rsid w:val="00236909"/>
    <w:rsid w:val="00237015"/>
    <w:rsid w:val="00240E3E"/>
    <w:rsid w:val="002446F3"/>
    <w:rsid w:val="002707C8"/>
    <w:rsid w:val="002737F1"/>
    <w:rsid w:val="002749C8"/>
    <w:rsid w:val="0027520F"/>
    <w:rsid w:val="00281709"/>
    <w:rsid w:val="00281E28"/>
    <w:rsid w:val="00286D51"/>
    <w:rsid w:val="00287DF8"/>
    <w:rsid w:val="002937FF"/>
    <w:rsid w:val="00296B1E"/>
    <w:rsid w:val="00297CEB"/>
    <w:rsid w:val="00297F48"/>
    <w:rsid w:val="002A613B"/>
    <w:rsid w:val="002A7945"/>
    <w:rsid w:val="002B3EC4"/>
    <w:rsid w:val="002B67F2"/>
    <w:rsid w:val="002C361D"/>
    <w:rsid w:val="002C6FF6"/>
    <w:rsid w:val="002D6490"/>
    <w:rsid w:val="002E36DA"/>
    <w:rsid w:val="002E3FED"/>
    <w:rsid w:val="002E5311"/>
    <w:rsid w:val="002E654C"/>
    <w:rsid w:val="002F2F14"/>
    <w:rsid w:val="002F655F"/>
    <w:rsid w:val="00303970"/>
    <w:rsid w:val="003040BE"/>
    <w:rsid w:val="0030528F"/>
    <w:rsid w:val="003065D5"/>
    <w:rsid w:val="0030707C"/>
    <w:rsid w:val="00310F21"/>
    <w:rsid w:val="00310F7A"/>
    <w:rsid w:val="0031134A"/>
    <w:rsid w:val="00312C10"/>
    <w:rsid w:val="00313105"/>
    <w:rsid w:val="00313207"/>
    <w:rsid w:val="003207D2"/>
    <w:rsid w:val="003245E1"/>
    <w:rsid w:val="003355A5"/>
    <w:rsid w:val="00335D35"/>
    <w:rsid w:val="00337828"/>
    <w:rsid w:val="00340B03"/>
    <w:rsid w:val="00341369"/>
    <w:rsid w:val="00342FA2"/>
    <w:rsid w:val="003439C1"/>
    <w:rsid w:val="00345576"/>
    <w:rsid w:val="00347F27"/>
    <w:rsid w:val="003639CF"/>
    <w:rsid w:val="00365721"/>
    <w:rsid w:val="003664A8"/>
    <w:rsid w:val="00367C5F"/>
    <w:rsid w:val="003733DC"/>
    <w:rsid w:val="00383C1D"/>
    <w:rsid w:val="003860CA"/>
    <w:rsid w:val="00392CB9"/>
    <w:rsid w:val="003978CF"/>
    <w:rsid w:val="00397C0A"/>
    <w:rsid w:val="003A2B6A"/>
    <w:rsid w:val="003A5D3C"/>
    <w:rsid w:val="003A7C65"/>
    <w:rsid w:val="003B3ECA"/>
    <w:rsid w:val="003B4897"/>
    <w:rsid w:val="003B741F"/>
    <w:rsid w:val="003D369B"/>
    <w:rsid w:val="003E2BB8"/>
    <w:rsid w:val="003F5A96"/>
    <w:rsid w:val="004017AD"/>
    <w:rsid w:val="00403493"/>
    <w:rsid w:val="004061DC"/>
    <w:rsid w:val="00413B0D"/>
    <w:rsid w:val="004148D1"/>
    <w:rsid w:val="00414AEC"/>
    <w:rsid w:val="00420B86"/>
    <w:rsid w:val="0042346C"/>
    <w:rsid w:val="00424B89"/>
    <w:rsid w:val="0044391E"/>
    <w:rsid w:val="004443D6"/>
    <w:rsid w:val="004451D5"/>
    <w:rsid w:val="0044552A"/>
    <w:rsid w:val="00445B4E"/>
    <w:rsid w:val="00452EA6"/>
    <w:rsid w:val="004630C5"/>
    <w:rsid w:val="004639B0"/>
    <w:rsid w:val="00472FC4"/>
    <w:rsid w:val="004745D2"/>
    <w:rsid w:val="00481269"/>
    <w:rsid w:val="00487106"/>
    <w:rsid w:val="004946B5"/>
    <w:rsid w:val="0049591E"/>
    <w:rsid w:val="00497F75"/>
    <w:rsid w:val="004A1FBC"/>
    <w:rsid w:val="004A7533"/>
    <w:rsid w:val="004A7909"/>
    <w:rsid w:val="004A7DA9"/>
    <w:rsid w:val="004B0DD9"/>
    <w:rsid w:val="004B6F93"/>
    <w:rsid w:val="004D0A7A"/>
    <w:rsid w:val="004D628C"/>
    <w:rsid w:val="004D7B71"/>
    <w:rsid w:val="004E0F90"/>
    <w:rsid w:val="004E55B4"/>
    <w:rsid w:val="004E77A1"/>
    <w:rsid w:val="004F4962"/>
    <w:rsid w:val="004F6C2F"/>
    <w:rsid w:val="005057FE"/>
    <w:rsid w:val="00506161"/>
    <w:rsid w:val="005075C8"/>
    <w:rsid w:val="0050794E"/>
    <w:rsid w:val="0051044F"/>
    <w:rsid w:val="0051639C"/>
    <w:rsid w:val="005172CB"/>
    <w:rsid w:val="00520DD0"/>
    <w:rsid w:val="005257B8"/>
    <w:rsid w:val="00525947"/>
    <w:rsid w:val="00527251"/>
    <w:rsid w:val="005350ED"/>
    <w:rsid w:val="00535764"/>
    <w:rsid w:val="00540138"/>
    <w:rsid w:val="00547D80"/>
    <w:rsid w:val="00547F79"/>
    <w:rsid w:val="00551C7A"/>
    <w:rsid w:val="00554ADC"/>
    <w:rsid w:val="00554DDF"/>
    <w:rsid w:val="00560595"/>
    <w:rsid w:val="00561609"/>
    <w:rsid w:val="00561B39"/>
    <w:rsid w:val="0056750E"/>
    <w:rsid w:val="005702F6"/>
    <w:rsid w:val="00570530"/>
    <w:rsid w:val="00570FB4"/>
    <w:rsid w:val="00574BCA"/>
    <w:rsid w:val="00574DF2"/>
    <w:rsid w:val="00581F54"/>
    <w:rsid w:val="0058501A"/>
    <w:rsid w:val="005854BB"/>
    <w:rsid w:val="0059266C"/>
    <w:rsid w:val="00592EA9"/>
    <w:rsid w:val="005A06BC"/>
    <w:rsid w:val="005A0D1F"/>
    <w:rsid w:val="005A10BD"/>
    <w:rsid w:val="005A1FAA"/>
    <w:rsid w:val="005B0E92"/>
    <w:rsid w:val="005B55C8"/>
    <w:rsid w:val="005B5BDC"/>
    <w:rsid w:val="005B7FDA"/>
    <w:rsid w:val="005C40F0"/>
    <w:rsid w:val="005C68B9"/>
    <w:rsid w:val="005D7B31"/>
    <w:rsid w:val="005E429F"/>
    <w:rsid w:val="005E52DB"/>
    <w:rsid w:val="005E6E4F"/>
    <w:rsid w:val="005E75D7"/>
    <w:rsid w:val="00604341"/>
    <w:rsid w:val="006044B5"/>
    <w:rsid w:val="00604CC9"/>
    <w:rsid w:val="0060532C"/>
    <w:rsid w:val="0060763C"/>
    <w:rsid w:val="00607814"/>
    <w:rsid w:val="006118BF"/>
    <w:rsid w:val="00611D68"/>
    <w:rsid w:val="00614910"/>
    <w:rsid w:val="00624D90"/>
    <w:rsid w:val="006315A6"/>
    <w:rsid w:val="006409E9"/>
    <w:rsid w:val="006567E8"/>
    <w:rsid w:val="00660423"/>
    <w:rsid w:val="00662AE6"/>
    <w:rsid w:val="006653DF"/>
    <w:rsid w:val="006771F4"/>
    <w:rsid w:val="006817E6"/>
    <w:rsid w:val="00682185"/>
    <w:rsid w:val="00682424"/>
    <w:rsid w:val="00684401"/>
    <w:rsid w:val="00684CBB"/>
    <w:rsid w:val="006910D4"/>
    <w:rsid w:val="006948F6"/>
    <w:rsid w:val="00696B49"/>
    <w:rsid w:val="006A6C8C"/>
    <w:rsid w:val="006B0D04"/>
    <w:rsid w:val="006B197A"/>
    <w:rsid w:val="006B544B"/>
    <w:rsid w:val="006B79DF"/>
    <w:rsid w:val="006C035D"/>
    <w:rsid w:val="006C5655"/>
    <w:rsid w:val="006C72AE"/>
    <w:rsid w:val="006D0D3F"/>
    <w:rsid w:val="006D72C8"/>
    <w:rsid w:val="006E027D"/>
    <w:rsid w:val="006E55D2"/>
    <w:rsid w:val="006E5909"/>
    <w:rsid w:val="00704222"/>
    <w:rsid w:val="00713227"/>
    <w:rsid w:val="00714F04"/>
    <w:rsid w:val="0072157E"/>
    <w:rsid w:val="007241F5"/>
    <w:rsid w:val="007370CE"/>
    <w:rsid w:val="007371A7"/>
    <w:rsid w:val="00744028"/>
    <w:rsid w:val="00745996"/>
    <w:rsid w:val="007520A4"/>
    <w:rsid w:val="007526D6"/>
    <w:rsid w:val="007545F2"/>
    <w:rsid w:val="00756879"/>
    <w:rsid w:val="00757E59"/>
    <w:rsid w:val="00764200"/>
    <w:rsid w:val="00766223"/>
    <w:rsid w:val="00772959"/>
    <w:rsid w:val="007733C7"/>
    <w:rsid w:val="007815E9"/>
    <w:rsid w:val="00782B94"/>
    <w:rsid w:val="007835BB"/>
    <w:rsid w:val="00787FBC"/>
    <w:rsid w:val="00790FB3"/>
    <w:rsid w:val="00791D37"/>
    <w:rsid w:val="00792D07"/>
    <w:rsid w:val="007A04F7"/>
    <w:rsid w:val="007A06D7"/>
    <w:rsid w:val="007B0AEC"/>
    <w:rsid w:val="007B19C4"/>
    <w:rsid w:val="007B3846"/>
    <w:rsid w:val="007B595A"/>
    <w:rsid w:val="007C194A"/>
    <w:rsid w:val="007C236F"/>
    <w:rsid w:val="007C2A39"/>
    <w:rsid w:val="007D4DDF"/>
    <w:rsid w:val="007D63EC"/>
    <w:rsid w:val="007E32A5"/>
    <w:rsid w:val="007E42D2"/>
    <w:rsid w:val="007E53A6"/>
    <w:rsid w:val="007E61F6"/>
    <w:rsid w:val="007E78DE"/>
    <w:rsid w:val="007F1E61"/>
    <w:rsid w:val="007F2A77"/>
    <w:rsid w:val="007F32A6"/>
    <w:rsid w:val="007F5767"/>
    <w:rsid w:val="007F71CE"/>
    <w:rsid w:val="00802351"/>
    <w:rsid w:val="008121B7"/>
    <w:rsid w:val="00815ECC"/>
    <w:rsid w:val="00817C46"/>
    <w:rsid w:val="00820CED"/>
    <w:rsid w:val="00825A73"/>
    <w:rsid w:val="00826E75"/>
    <w:rsid w:val="00833F70"/>
    <w:rsid w:val="00836570"/>
    <w:rsid w:val="00843981"/>
    <w:rsid w:val="00843E27"/>
    <w:rsid w:val="00850253"/>
    <w:rsid w:val="00851032"/>
    <w:rsid w:val="00860286"/>
    <w:rsid w:val="00861620"/>
    <w:rsid w:val="00876057"/>
    <w:rsid w:val="00877157"/>
    <w:rsid w:val="0088179A"/>
    <w:rsid w:val="0088222B"/>
    <w:rsid w:val="00885BEF"/>
    <w:rsid w:val="008967CE"/>
    <w:rsid w:val="008967E8"/>
    <w:rsid w:val="008A002D"/>
    <w:rsid w:val="008A340D"/>
    <w:rsid w:val="008A780B"/>
    <w:rsid w:val="008B0DAD"/>
    <w:rsid w:val="008B4DC2"/>
    <w:rsid w:val="008B4F1E"/>
    <w:rsid w:val="008B52DD"/>
    <w:rsid w:val="008C1704"/>
    <w:rsid w:val="008C5E7E"/>
    <w:rsid w:val="008C6BCF"/>
    <w:rsid w:val="008D18D5"/>
    <w:rsid w:val="008D436B"/>
    <w:rsid w:val="008D5809"/>
    <w:rsid w:val="008D6F77"/>
    <w:rsid w:val="008E0A7D"/>
    <w:rsid w:val="008E1098"/>
    <w:rsid w:val="008E28F1"/>
    <w:rsid w:val="008E50BD"/>
    <w:rsid w:val="008F0D7E"/>
    <w:rsid w:val="008F33EE"/>
    <w:rsid w:val="008F3AA8"/>
    <w:rsid w:val="00903ACE"/>
    <w:rsid w:val="00903E46"/>
    <w:rsid w:val="00920804"/>
    <w:rsid w:val="009219DC"/>
    <w:rsid w:val="00927180"/>
    <w:rsid w:val="00930B46"/>
    <w:rsid w:val="00933350"/>
    <w:rsid w:val="00933D6D"/>
    <w:rsid w:val="009430D7"/>
    <w:rsid w:val="00943E5D"/>
    <w:rsid w:val="009449D2"/>
    <w:rsid w:val="00946C13"/>
    <w:rsid w:val="00955933"/>
    <w:rsid w:val="0096078C"/>
    <w:rsid w:val="00961A7F"/>
    <w:rsid w:val="0096795A"/>
    <w:rsid w:val="009716B9"/>
    <w:rsid w:val="00984446"/>
    <w:rsid w:val="00987147"/>
    <w:rsid w:val="0098717B"/>
    <w:rsid w:val="00991491"/>
    <w:rsid w:val="00991E9E"/>
    <w:rsid w:val="00993025"/>
    <w:rsid w:val="0099523B"/>
    <w:rsid w:val="009A1D05"/>
    <w:rsid w:val="009A37F0"/>
    <w:rsid w:val="009A55BC"/>
    <w:rsid w:val="009B1F12"/>
    <w:rsid w:val="009C0F98"/>
    <w:rsid w:val="009C397A"/>
    <w:rsid w:val="009E325F"/>
    <w:rsid w:val="009E62E2"/>
    <w:rsid w:val="009F50A4"/>
    <w:rsid w:val="009F756A"/>
    <w:rsid w:val="00A02FBC"/>
    <w:rsid w:val="00A07422"/>
    <w:rsid w:val="00A075E2"/>
    <w:rsid w:val="00A15F99"/>
    <w:rsid w:val="00A16933"/>
    <w:rsid w:val="00A23FDF"/>
    <w:rsid w:val="00A274EA"/>
    <w:rsid w:val="00A278F6"/>
    <w:rsid w:val="00A36546"/>
    <w:rsid w:val="00A4489F"/>
    <w:rsid w:val="00A451DC"/>
    <w:rsid w:val="00A521E9"/>
    <w:rsid w:val="00A528C1"/>
    <w:rsid w:val="00A5520D"/>
    <w:rsid w:val="00A56812"/>
    <w:rsid w:val="00A61363"/>
    <w:rsid w:val="00A614A0"/>
    <w:rsid w:val="00A72948"/>
    <w:rsid w:val="00A77526"/>
    <w:rsid w:val="00A81C85"/>
    <w:rsid w:val="00A85008"/>
    <w:rsid w:val="00AA23B4"/>
    <w:rsid w:val="00AA349C"/>
    <w:rsid w:val="00AA3FD4"/>
    <w:rsid w:val="00AA64C4"/>
    <w:rsid w:val="00AA6AF1"/>
    <w:rsid w:val="00AB7340"/>
    <w:rsid w:val="00AC0B19"/>
    <w:rsid w:val="00AC2652"/>
    <w:rsid w:val="00AC5CC9"/>
    <w:rsid w:val="00AC6294"/>
    <w:rsid w:val="00AD4443"/>
    <w:rsid w:val="00AD4D8B"/>
    <w:rsid w:val="00AE2646"/>
    <w:rsid w:val="00AE4DBE"/>
    <w:rsid w:val="00AE7FFE"/>
    <w:rsid w:val="00B028A9"/>
    <w:rsid w:val="00B318D3"/>
    <w:rsid w:val="00B46979"/>
    <w:rsid w:val="00B61DC5"/>
    <w:rsid w:val="00B719C9"/>
    <w:rsid w:val="00B75503"/>
    <w:rsid w:val="00B86215"/>
    <w:rsid w:val="00BB28D5"/>
    <w:rsid w:val="00BB42F0"/>
    <w:rsid w:val="00BB443B"/>
    <w:rsid w:val="00BC3810"/>
    <w:rsid w:val="00BD066F"/>
    <w:rsid w:val="00BD35EC"/>
    <w:rsid w:val="00BD5B92"/>
    <w:rsid w:val="00BD7316"/>
    <w:rsid w:val="00BE25B4"/>
    <w:rsid w:val="00BF125B"/>
    <w:rsid w:val="00BF20C1"/>
    <w:rsid w:val="00BF3E64"/>
    <w:rsid w:val="00BF7A32"/>
    <w:rsid w:val="00C00F89"/>
    <w:rsid w:val="00C036DE"/>
    <w:rsid w:val="00C03F86"/>
    <w:rsid w:val="00C0574C"/>
    <w:rsid w:val="00C076A6"/>
    <w:rsid w:val="00C13E0D"/>
    <w:rsid w:val="00C32613"/>
    <w:rsid w:val="00C33FD9"/>
    <w:rsid w:val="00C450E2"/>
    <w:rsid w:val="00C51B0D"/>
    <w:rsid w:val="00C63045"/>
    <w:rsid w:val="00C73D06"/>
    <w:rsid w:val="00C81402"/>
    <w:rsid w:val="00C85055"/>
    <w:rsid w:val="00C853F4"/>
    <w:rsid w:val="00C85BEF"/>
    <w:rsid w:val="00C85F0F"/>
    <w:rsid w:val="00C9798E"/>
    <w:rsid w:val="00CA1F67"/>
    <w:rsid w:val="00CA4C06"/>
    <w:rsid w:val="00CA6879"/>
    <w:rsid w:val="00CB471C"/>
    <w:rsid w:val="00CC0544"/>
    <w:rsid w:val="00CC20AF"/>
    <w:rsid w:val="00CD0FDA"/>
    <w:rsid w:val="00CD2434"/>
    <w:rsid w:val="00CD368D"/>
    <w:rsid w:val="00CD4123"/>
    <w:rsid w:val="00CF2F91"/>
    <w:rsid w:val="00CF660B"/>
    <w:rsid w:val="00CF6635"/>
    <w:rsid w:val="00CF69FB"/>
    <w:rsid w:val="00D05082"/>
    <w:rsid w:val="00D07A48"/>
    <w:rsid w:val="00D1081A"/>
    <w:rsid w:val="00D11221"/>
    <w:rsid w:val="00D13709"/>
    <w:rsid w:val="00D15BBA"/>
    <w:rsid w:val="00D20F3F"/>
    <w:rsid w:val="00D215F6"/>
    <w:rsid w:val="00D278A6"/>
    <w:rsid w:val="00D3243E"/>
    <w:rsid w:val="00D3399D"/>
    <w:rsid w:val="00D35A98"/>
    <w:rsid w:val="00D3748E"/>
    <w:rsid w:val="00D40E14"/>
    <w:rsid w:val="00D421CB"/>
    <w:rsid w:val="00D44964"/>
    <w:rsid w:val="00D534CE"/>
    <w:rsid w:val="00D54624"/>
    <w:rsid w:val="00D55234"/>
    <w:rsid w:val="00D560C1"/>
    <w:rsid w:val="00D60F32"/>
    <w:rsid w:val="00D65800"/>
    <w:rsid w:val="00D659A0"/>
    <w:rsid w:val="00D71D98"/>
    <w:rsid w:val="00D826B8"/>
    <w:rsid w:val="00D82ED6"/>
    <w:rsid w:val="00D86397"/>
    <w:rsid w:val="00D90508"/>
    <w:rsid w:val="00D947A4"/>
    <w:rsid w:val="00D948CA"/>
    <w:rsid w:val="00DA47D0"/>
    <w:rsid w:val="00DB2C7D"/>
    <w:rsid w:val="00DB2E30"/>
    <w:rsid w:val="00DB42B6"/>
    <w:rsid w:val="00DB7336"/>
    <w:rsid w:val="00DC58C2"/>
    <w:rsid w:val="00DC62DF"/>
    <w:rsid w:val="00DD0B42"/>
    <w:rsid w:val="00DD27CE"/>
    <w:rsid w:val="00DD47B9"/>
    <w:rsid w:val="00DE3940"/>
    <w:rsid w:val="00DF2303"/>
    <w:rsid w:val="00DF2BE6"/>
    <w:rsid w:val="00E00264"/>
    <w:rsid w:val="00E02B6F"/>
    <w:rsid w:val="00E03122"/>
    <w:rsid w:val="00E06612"/>
    <w:rsid w:val="00E07C84"/>
    <w:rsid w:val="00E10213"/>
    <w:rsid w:val="00E179D7"/>
    <w:rsid w:val="00E17C88"/>
    <w:rsid w:val="00E206AF"/>
    <w:rsid w:val="00E20853"/>
    <w:rsid w:val="00E212C5"/>
    <w:rsid w:val="00E31793"/>
    <w:rsid w:val="00E349F3"/>
    <w:rsid w:val="00E34A11"/>
    <w:rsid w:val="00E4040D"/>
    <w:rsid w:val="00E40E73"/>
    <w:rsid w:val="00E46133"/>
    <w:rsid w:val="00E51C1B"/>
    <w:rsid w:val="00E5781C"/>
    <w:rsid w:val="00E71B9B"/>
    <w:rsid w:val="00E818FD"/>
    <w:rsid w:val="00E82384"/>
    <w:rsid w:val="00E82FE9"/>
    <w:rsid w:val="00E830E9"/>
    <w:rsid w:val="00E93BFB"/>
    <w:rsid w:val="00EB252F"/>
    <w:rsid w:val="00EC073F"/>
    <w:rsid w:val="00EC4BC3"/>
    <w:rsid w:val="00EC6EFC"/>
    <w:rsid w:val="00EC7488"/>
    <w:rsid w:val="00ED330E"/>
    <w:rsid w:val="00ED4A0D"/>
    <w:rsid w:val="00ED5033"/>
    <w:rsid w:val="00EE5C16"/>
    <w:rsid w:val="00EE61EC"/>
    <w:rsid w:val="00EF6931"/>
    <w:rsid w:val="00EF6E9F"/>
    <w:rsid w:val="00F10606"/>
    <w:rsid w:val="00F15F08"/>
    <w:rsid w:val="00F224C9"/>
    <w:rsid w:val="00F230CD"/>
    <w:rsid w:val="00F2757D"/>
    <w:rsid w:val="00F33AD4"/>
    <w:rsid w:val="00F34A07"/>
    <w:rsid w:val="00F35FCE"/>
    <w:rsid w:val="00F365AC"/>
    <w:rsid w:val="00F43E76"/>
    <w:rsid w:val="00F44EE9"/>
    <w:rsid w:val="00F5497A"/>
    <w:rsid w:val="00F56076"/>
    <w:rsid w:val="00F63373"/>
    <w:rsid w:val="00F637F4"/>
    <w:rsid w:val="00F7041F"/>
    <w:rsid w:val="00F760F6"/>
    <w:rsid w:val="00F849DF"/>
    <w:rsid w:val="00F84EA3"/>
    <w:rsid w:val="00F8782A"/>
    <w:rsid w:val="00F905A5"/>
    <w:rsid w:val="00F9181B"/>
    <w:rsid w:val="00F94B31"/>
    <w:rsid w:val="00F96A8E"/>
    <w:rsid w:val="00F96E04"/>
    <w:rsid w:val="00FA4B8B"/>
    <w:rsid w:val="00FA64CA"/>
    <w:rsid w:val="00FB2564"/>
    <w:rsid w:val="00FB3475"/>
    <w:rsid w:val="00FC15EE"/>
    <w:rsid w:val="00FC4D00"/>
    <w:rsid w:val="00FC4EF4"/>
    <w:rsid w:val="00FC6D53"/>
    <w:rsid w:val="00FD6CB8"/>
    <w:rsid w:val="00FE03B7"/>
    <w:rsid w:val="00FF111D"/>
    <w:rsid w:val="00FF1881"/>
    <w:rsid w:val="00FF3067"/>
    <w:rsid w:val="00FF431A"/>
    <w:rsid w:val="00FF6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CF1B"/>
  <w15:chartTrackingRefBased/>
  <w15:docId w15:val="{754A5BB6-E257-470E-AB6B-CB7C204F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0CD"/>
    <w:pPr>
      <w:spacing w:line="25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27520F"/>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9A1D05"/>
    <w:rPr>
      <w:sz w:val="16"/>
      <w:szCs w:val="16"/>
    </w:rPr>
  </w:style>
  <w:style w:type="paragraph" w:styleId="CommentText">
    <w:name w:val="annotation text"/>
    <w:basedOn w:val="Normal"/>
    <w:link w:val="CommentTextChar"/>
    <w:uiPriority w:val="99"/>
    <w:unhideWhenUsed/>
    <w:rsid w:val="009A1D05"/>
    <w:pPr>
      <w:spacing w:line="240" w:lineRule="auto"/>
    </w:pPr>
    <w:rPr>
      <w:sz w:val="20"/>
      <w:szCs w:val="20"/>
    </w:rPr>
  </w:style>
  <w:style w:type="character" w:customStyle="1" w:styleId="CommentTextChar">
    <w:name w:val="Comment Text Char"/>
    <w:basedOn w:val="DefaultParagraphFont"/>
    <w:link w:val="CommentText"/>
    <w:uiPriority w:val="99"/>
    <w:rsid w:val="009A1D05"/>
    <w:rPr>
      <w:sz w:val="20"/>
      <w:szCs w:val="20"/>
    </w:rPr>
  </w:style>
  <w:style w:type="paragraph" w:styleId="BalloonText">
    <w:name w:val="Balloon Text"/>
    <w:basedOn w:val="Normal"/>
    <w:link w:val="BalloonTextChar"/>
    <w:uiPriority w:val="99"/>
    <w:semiHidden/>
    <w:unhideWhenUsed/>
    <w:rsid w:val="009A1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D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1639C"/>
    <w:rPr>
      <w:b/>
      <w:bCs/>
    </w:rPr>
  </w:style>
  <w:style w:type="character" w:customStyle="1" w:styleId="CommentSubjectChar">
    <w:name w:val="Comment Subject Char"/>
    <w:basedOn w:val="CommentTextChar"/>
    <w:link w:val="CommentSubject"/>
    <w:uiPriority w:val="99"/>
    <w:semiHidden/>
    <w:rsid w:val="0051639C"/>
    <w:rPr>
      <w:b/>
      <w:bCs/>
      <w:sz w:val="20"/>
      <w:szCs w:val="20"/>
    </w:rPr>
  </w:style>
  <w:style w:type="table" w:customStyle="1" w:styleId="TableGrid1">
    <w:name w:val="Table Grid1"/>
    <w:basedOn w:val="TableNormal"/>
    <w:next w:val="TableGrid"/>
    <w:uiPriority w:val="39"/>
    <w:rsid w:val="00F9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37F4"/>
    <w:rPr>
      <w:color w:val="808080"/>
    </w:rPr>
  </w:style>
  <w:style w:type="paragraph" w:styleId="FootnoteText">
    <w:name w:val="footnote text"/>
    <w:basedOn w:val="Normal"/>
    <w:link w:val="FootnoteTextChar"/>
    <w:uiPriority w:val="99"/>
    <w:semiHidden/>
    <w:unhideWhenUsed/>
    <w:rsid w:val="00ED33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30E"/>
    <w:rPr>
      <w:sz w:val="20"/>
      <w:szCs w:val="20"/>
    </w:rPr>
  </w:style>
  <w:style w:type="character" w:styleId="FootnoteReference">
    <w:name w:val="footnote reference"/>
    <w:basedOn w:val="DefaultParagraphFont"/>
    <w:uiPriority w:val="99"/>
    <w:semiHidden/>
    <w:unhideWhenUsed/>
    <w:rsid w:val="00ED330E"/>
    <w:rPr>
      <w:vertAlign w:val="superscript"/>
    </w:rPr>
  </w:style>
  <w:style w:type="table" w:customStyle="1" w:styleId="Reatabula1">
    <w:name w:val="Režģa tabula1"/>
    <w:basedOn w:val="TableNormal"/>
    <w:next w:val="TableGrid"/>
    <w:uiPriority w:val="39"/>
    <w:rsid w:val="00DA47D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534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9523B"/>
    <w:rPr>
      <w:color w:val="0563C1"/>
      <w:u w:val="single"/>
    </w:rPr>
  </w:style>
  <w:style w:type="character" w:styleId="FollowedHyperlink">
    <w:name w:val="FollowedHyperlink"/>
    <w:basedOn w:val="DefaultParagraphFont"/>
    <w:uiPriority w:val="99"/>
    <w:semiHidden/>
    <w:unhideWhenUsed/>
    <w:rsid w:val="0099523B"/>
    <w:rPr>
      <w:color w:val="954F72"/>
      <w:u w:val="single"/>
    </w:rPr>
  </w:style>
  <w:style w:type="paragraph" w:customStyle="1" w:styleId="msonormal0">
    <w:name w:val="msonormal"/>
    <w:basedOn w:val="Normal"/>
    <w:rsid w:val="0099523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5">
    <w:name w:val="font5"/>
    <w:basedOn w:val="Normal"/>
    <w:rsid w:val="0099523B"/>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6">
    <w:name w:val="font6"/>
    <w:basedOn w:val="Normal"/>
    <w:rsid w:val="0099523B"/>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xl66">
    <w:name w:val="xl66"/>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7">
    <w:name w:val="xl67"/>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8">
    <w:name w:val="xl68"/>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9">
    <w:name w:val="xl69"/>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0">
    <w:name w:val="xl70"/>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1">
    <w:name w:val="xl71"/>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2">
    <w:name w:val="xl7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3">
    <w:name w:val="xl73"/>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4">
    <w:name w:val="xl74"/>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5">
    <w:name w:val="xl75"/>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6">
    <w:name w:val="xl76"/>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7">
    <w:name w:val="xl77"/>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8">
    <w:name w:val="xl78"/>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9">
    <w:name w:val="xl79"/>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0">
    <w:name w:val="xl80"/>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1">
    <w:name w:val="xl81"/>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2">
    <w:name w:val="xl8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3">
    <w:name w:val="xl83"/>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4">
    <w:name w:val="xl84"/>
    <w:basedOn w:val="Normal"/>
    <w:rsid w:val="0099523B"/>
    <w:pP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85">
    <w:name w:val="xl85"/>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6">
    <w:name w:val="xl86"/>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7">
    <w:name w:val="xl87"/>
    <w:basedOn w:val="Normal"/>
    <w:rsid w:val="0099523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8">
    <w:name w:val="xl88"/>
    <w:basedOn w:val="Normal"/>
    <w:rsid w:val="0099523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9">
    <w:name w:val="xl89"/>
    <w:basedOn w:val="Normal"/>
    <w:rsid w:val="009952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0">
    <w:name w:val="xl90"/>
    <w:basedOn w:val="Normal"/>
    <w:rsid w:val="0099523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1">
    <w:name w:val="xl91"/>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2">
    <w:name w:val="xl92"/>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3">
    <w:name w:val="xl93"/>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4">
    <w:name w:val="xl94"/>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5">
    <w:name w:val="xl95"/>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6">
    <w:name w:val="xl96"/>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9">
    <w:name w:val="xl99"/>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995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1">
    <w:name w:val="xl101"/>
    <w:basedOn w:val="Normal"/>
    <w:rsid w:val="0099523B"/>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2">
    <w:name w:val="xl102"/>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3">
    <w:name w:val="xl103"/>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4">
    <w:name w:val="xl104"/>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5">
    <w:name w:val="xl105"/>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6">
    <w:name w:val="xl106"/>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7">
    <w:name w:val="xl107"/>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8">
    <w:name w:val="xl108"/>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styleId="Header">
    <w:name w:val="header"/>
    <w:basedOn w:val="Normal"/>
    <w:link w:val="HeaderChar"/>
    <w:uiPriority w:val="99"/>
    <w:unhideWhenUsed/>
    <w:rsid w:val="001249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4971"/>
    <w:rPr>
      <w:rFonts w:ascii="Calibri" w:eastAsia="Calibri" w:hAnsi="Calibri" w:cs="Times New Roman"/>
    </w:rPr>
  </w:style>
  <w:style w:type="paragraph" w:styleId="Footer">
    <w:name w:val="footer"/>
    <w:basedOn w:val="Normal"/>
    <w:link w:val="FooterChar"/>
    <w:uiPriority w:val="99"/>
    <w:unhideWhenUsed/>
    <w:rsid w:val="001249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4971"/>
    <w:rPr>
      <w:rFonts w:ascii="Calibri" w:eastAsia="Calibri" w:hAnsi="Calibri" w:cs="Times New Roman"/>
    </w:rPr>
  </w:style>
  <w:style w:type="character" w:styleId="UnresolvedMention">
    <w:name w:val="Unresolved Mention"/>
    <w:basedOn w:val="DefaultParagraphFont"/>
    <w:uiPriority w:val="99"/>
    <w:semiHidden/>
    <w:unhideWhenUsed/>
    <w:rsid w:val="00495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6152">
      <w:bodyDiv w:val="1"/>
      <w:marLeft w:val="0"/>
      <w:marRight w:val="0"/>
      <w:marTop w:val="0"/>
      <w:marBottom w:val="0"/>
      <w:divBdr>
        <w:top w:val="none" w:sz="0" w:space="0" w:color="auto"/>
        <w:left w:val="none" w:sz="0" w:space="0" w:color="auto"/>
        <w:bottom w:val="none" w:sz="0" w:space="0" w:color="auto"/>
        <w:right w:val="none" w:sz="0" w:space="0" w:color="auto"/>
      </w:divBdr>
    </w:div>
    <w:div w:id="182407342">
      <w:bodyDiv w:val="1"/>
      <w:marLeft w:val="0"/>
      <w:marRight w:val="0"/>
      <w:marTop w:val="0"/>
      <w:marBottom w:val="0"/>
      <w:divBdr>
        <w:top w:val="none" w:sz="0" w:space="0" w:color="auto"/>
        <w:left w:val="none" w:sz="0" w:space="0" w:color="auto"/>
        <w:bottom w:val="none" w:sz="0" w:space="0" w:color="auto"/>
        <w:right w:val="none" w:sz="0" w:space="0" w:color="auto"/>
      </w:divBdr>
    </w:div>
    <w:div w:id="193006102">
      <w:bodyDiv w:val="1"/>
      <w:marLeft w:val="0"/>
      <w:marRight w:val="0"/>
      <w:marTop w:val="0"/>
      <w:marBottom w:val="0"/>
      <w:divBdr>
        <w:top w:val="none" w:sz="0" w:space="0" w:color="auto"/>
        <w:left w:val="none" w:sz="0" w:space="0" w:color="auto"/>
        <w:bottom w:val="none" w:sz="0" w:space="0" w:color="auto"/>
        <w:right w:val="none" w:sz="0" w:space="0" w:color="auto"/>
      </w:divBdr>
    </w:div>
    <w:div w:id="297883387">
      <w:bodyDiv w:val="1"/>
      <w:marLeft w:val="0"/>
      <w:marRight w:val="0"/>
      <w:marTop w:val="0"/>
      <w:marBottom w:val="0"/>
      <w:divBdr>
        <w:top w:val="none" w:sz="0" w:space="0" w:color="auto"/>
        <w:left w:val="none" w:sz="0" w:space="0" w:color="auto"/>
        <w:bottom w:val="none" w:sz="0" w:space="0" w:color="auto"/>
        <w:right w:val="none" w:sz="0" w:space="0" w:color="auto"/>
      </w:divBdr>
    </w:div>
    <w:div w:id="315693065">
      <w:bodyDiv w:val="1"/>
      <w:marLeft w:val="0"/>
      <w:marRight w:val="0"/>
      <w:marTop w:val="0"/>
      <w:marBottom w:val="0"/>
      <w:divBdr>
        <w:top w:val="none" w:sz="0" w:space="0" w:color="auto"/>
        <w:left w:val="none" w:sz="0" w:space="0" w:color="auto"/>
        <w:bottom w:val="none" w:sz="0" w:space="0" w:color="auto"/>
        <w:right w:val="none" w:sz="0" w:space="0" w:color="auto"/>
      </w:divBdr>
    </w:div>
    <w:div w:id="344745668">
      <w:bodyDiv w:val="1"/>
      <w:marLeft w:val="0"/>
      <w:marRight w:val="0"/>
      <w:marTop w:val="0"/>
      <w:marBottom w:val="0"/>
      <w:divBdr>
        <w:top w:val="none" w:sz="0" w:space="0" w:color="auto"/>
        <w:left w:val="none" w:sz="0" w:space="0" w:color="auto"/>
        <w:bottom w:val="none" w:sz="0" w:space="0" w:color="auto"/>
        <w:right w:val="none" w:sz="0" w:space="0" w:color="auto"/>
      </w:divBdr>
    </w:div>
    <w:div w:id="437724922">
      <w:bodyDiv w:val="1"/>
      <w:marLeft w:val="0"/>
      <w:marRight w:val="0"/>
      <w:marTop w:val="0"/>
      <w:marBottom w:val="0"/>
      <w:divBdr>
        <w:top w:val="none" w:sz="0" w:space="0" w:color="auto"/>
        <w:left w:val="none" w:sz="0" w:space="0" w:color="auto"/>
        <w:bottom w:val="none" w:sz="0" w:space="0" w:color="auto"/>
        <w:right w:val="none" w:sz="0" w:space="0" w:color="auto"/>
      </w:divBdr>
    </w:div>
    <w:div w:id="444160821">
      <w:bodyDiv w:val="1"/>
      <w:marLeft w:val="0"/>
      <w:marRight w:val="0"/>
      <w:marTop w:val="0"/>
      <w:marBottom w:val="0"/>
      <w:divBdr>
        <w:top w:val="none" w:sz="0" w:space="0" w:color="auto"/>
        <w:left w:val="none" w:sz="0" w:space="0" w:color="auto"/>
        <w:bottom w:val="none" w:sz="0" w:space="0" w:color="auto"/>
        <w:right w:val="none" w:sz="0" w:space="0" w:color="auto"/>
      </w:divBdr>
    </w:div>
    <w:div w:id="530265070">
      <w:bodyDiv w:val="1"/>
      <w:marLeft w:val="0"/>
      <w:marRight w:val="0"/>
      <w:marTop w:val="0"/>
      <w:marBottom w:val="0"/>
      <w:divBdr>
        <w:top w:val="none" w:sz="0" w:space="0" w:color="auto"/>
        <w:left w:val="none" w:sz="0" w:space="0" w:color="auto"/>
        <w:bottom w:val="none" w:sz="0" w:space="0" w:color="auto"/>
        <w:right w:val="none" w:sz="0" w:space="0" w:color="auto"/>
      </w:divBdr>
    </w:div>
    <w:div w:id="538593686">
      <w:bodyDiv w:val="1"/>
      <w:marLeft w:val="0"/>
      <w:marRight w:val="0"/>
      <w:marTop w:val="0"/>
      <w:marBottom w:val="0"/>
      <w:divBdr>
        <w:top w:val="none" w:sz="0" w:space="0" w:color="auto"/>
        <w:left w:val="none" w:sz="0" w:space="0" w:color="auto"/>
        <w:bottom w:val="none" w:sz="0" w:space="0" w:color="auto"/>
        <w:right w:val="none" w:sz="0" w:space="0" w:color="auto"/>
      </w:divBdr>
    </w:div>
    <w:div w:id="661273977">
      <w:bodyDiv w:val="1"/>
      <w:marLeft w:val="0"/>
      <w:marRight w:val="0"/>
      <w:marTop w:val="0"/>
      <w:marBottom w:val="0"/>
      <w:divBdr>
        <w:top w:val="none" w:sz="0" w:space="0" w:color="auto"/>
        <w:left w:val="none" w:sz="0" w:space="0" w:color="auto"/>
        <w:bottom w:val="none" w:sz="0" w:space="0" w:color="auto"/>
        <w:right w:val="none" w:sz="0" w:space="0" w:color="auto"/>
      </w:divBdr>
    </w:div>
    <w:div w:id="741684907">
      <w:bodyDiv w:val="1"/>
      <w:marLeft w:val="0"/>
      <w:marRight w:val="0"/>
      <w:marTop w:val="0"/>
      <w:marBottom w:val="0"/>
      <w:divBdr>
        <w:top w:val="none" w:sz="0" w:space="0" w:color="auto"/>
        <w:left w:val="none" w:sz="0" w:space="0" w:color="auto"/>
        <w:bottom w:val="none" w:sz="0" w:space="0" w:color="auto"/>
        <w:right w:val="none" w:sz="0" w:space="0" w:color="auto"/>
      </w:divBdr>
      <w:divsChild>
        <w:div w:id="142741053">
          <w:marLeft w:val="0"/>
          <w:marRight w:val="0"/>
          <w:marTop w:val="0"/>
          <w:marBottom w:val="0"/>
          <w:divBdr>
            <w:top w:val="none" w:sz="0" w:space="0" w:color="auto"/>
            <w:left w:val="none" w:sz="0" w:space="0" w:color="auto"/>
            <w:bottom w:val="none" w:sz="0" w:space="0" w:color="auto"/>
            <w:right w:val="none" w:sz="0" w:space="0" w:color="auto"/>
          </w:divBdr>
        </w:div>
        <w:div w:id="1384670663">
          <w:marLeft w:val="0"/>
          <w:marRight w:val="0"/>
          <w:marTop w:val="0"/>
          <w:marBottom w:val="0"/>
          <w:divBdr>
            <w:top w:val="none" w:sz="0" w:space="0" w:color="auto"/>
            <w:left w:val="none" w:sz="0" w:space="0" w:color="auto"/>
            <w:bottom w:val="none" w:sz="0" w:space="0" w:color="auto"/>
            <w:right w:val="none" w:sz="0" w:space="0" w:color="auto"/>
          </w:divBdr>
        </w:div>
      </w:divsChild>
    </w:div>
    <w:div w:id="760637064">
      <w:bodyDiv w:val="1"/>
      <w:marLeft w:val="0"/>
      <w:marRight w:val="0"/>
      <w:marTop w:val="0"/>
      <w:marBottom w:val="0"/>
      <w:divBdr>
        <w:top w:val="none" w:sz="0" w:space="0" w:color="auto"/>
        <w:left w:val="none" w:sz="0" w:space="0" w:color="auto"/>
        <w:bottom w:val="none" w:sz="0" w:space="0" w:color="auto"/>
        <w:right w:val="none" w:sz="0" w:space="0" w:color="auto"/>
      </w:divBdr>
    </w:div>
    <w:div w:id="857348348">
      <w:bodyDiv w:val="1"/>
      <w:marLeft w:val="0"/>
      <w:marRight w:val="0"/>
      <w:marTop w:val="0"/>
      <w:marBottom w:val="0"/>
      <w:divBdr>
        <w:top w:val="none" w:sz="0" w:space="0" w:color="auto"/>
        <w:left w:val="none" w:sz="0" w:space="0" w:color="auto"/>
        <w:bottom w:val="none" w:sz="0" w:space="0" w:color="auto"/>
        <w:right w:val="none" w:sz="0" w:space="0" w:color="auto"/>
      </w:divBdr>
    </w:div>
    <w:div w:id="1010568408">
      <w:bodyDiv w:val="1"/>
      <w:marLeft w:val="0"/>
      <w:marRight w:val="0"/>
      <w:marTop w:val="0"/>
      <w:marBottom w:val="0"/>
      <w:divBdr>
        <w:top w:val="none" w:sz="0" w:space="0" w:color="auto"/>
        <w:left w:val="none" w:sz="0" w:space="0" w:color="auto"/>
        <w:bottom w:val="none" w:sz="0" w:space="0" w:color="auto"/>
        <w:right w:val="none" w:sz="0" w:space="0" w:color="auto"/>
      </w:divBdr>
    </w:div>
    <w:div w:id="1144355181">
      <w:bodyDiv w:val="1"/>
      <w:marLeft w:val="0"/>
      <w:marRight w:val="0"/>
      <w:marTop w:val="0"/>
      <w:marBottom w:val="0"/>
      <w:divBdr>
        <w:top w:val="none" w:sz="0" w:space="0" w:color="auto"/>
        <w:left w:val="none" w:sz="0" w:space="0" w:color="auto"/>
        <w:bottom w:val="none" w:sz="0" w:space="0" w:color="auto"/>
        <w:right w:val="none" w:sz="0" w:space="0" w:color="auto"/>
      </w:divBdr>
    </w:div>
    <w:div w:id="1180122173">
      <w:bodyDiv w:val="1"/>
      <w:marLeft w:val="0"/>
      <w:marRight w:val="0"/>
      <w:marTop w:val="0"/>
      <w:marBottom w:val="0"/>
      <w:divBdr>
        <w:top w:val="none" w:sz="0" w:space="0" w:color="auto"/>
        <w:left w:val="none" w:sz="0" w:space="0" w:color="auto"/>
        <w:bottom w:val="none" w:sz="0" w:space="0" w:color="auto"/>
        <w:right w:val="none" w:sz="0" w:space="0" w:color="auto"/>
      </w:divBdr>
    </w:div>
    <w:div w:id="1226379813">
      <w:bodyDiv w:val="1"/>
      <w:marLeft w:val="0"/>
      <w:marRight w:val="0"/>
      <w:marTop w:val="0"/>
      <w:marBottom w:val="0"/>
      <w:divBdr>
        <w:top w:val="none" w:sz="0" w:space="0" w:color="auto"/>
        <w:left w:val="none" w:sz="0" w:space="0" w:color="auto"/>
        <w:bottom w:val="none" w:sz="0" w:space="0" w:color="auto"/>
        <w:right w:val="none" w:sz="0" w:space="0" w:color="auto"/>
      </w:divBdr>
    </w:div>
    <w:div w:id="1363242334">
      <w:bodyDiv w:val="1"/>
      <w:marLeft w:val="0"/>
      <w:marRight w:val="0"/>
      <w:marTop w:val="0"/>
      <w:marBottom w:val="0"/>
      <w:divBdr>
        <w:top w:val="none" w:sz="0" w:space="0" w:color="auto"/>
        <w:left w:val="none" w:sz="0" w:space="0" w:color="auto"/>
        <w:bottom w:val="none" w:sz="0" w:space="0" w:color="auto"/>
        <w:right w:val="none" w:sz="0" w:space="0" w:color="auto"/>
      </w:divBdr>
    </w:div>
    <w:div w:id="1384718334">
      <w:bodyDiv w:val="1"/>
      <w:marLeft w:val="0"/>
      <w:marRight w:val="0"/>
      <w:marTop w:val="0"/>
      <w:marBottom w:val="0"/>
      <w:divBdr>
        <w:top w:val="none" w:sz="0" w:space="0" w:color="auto"/>
        <w:left w:val="none" w:sz="0" w:space="0" w:color="auto"/>
        <w:bottom w:val="none" w:sz="0" w:space="0" w:color="auto"/>
        <w:right w:val="none" w:sz="0" w:space="0" w:color="auto"/>
      </w:divBdr>
    </w:div>
    <w:div w:id="1406562719">
      <w:bodyDiv w:val="1"/>
      <w:marLeft w:val="0"/>
      <w:marRight w:val="0"/>
      <w:marTop w:val="0"/>
      <w:marBottom w:val="0"/>
      <w:divBdr>
        <w:top w:val="none" w:sz="0" w:space="0" w:color="auto"/>
        <w:left w:val="none" w:sz="0" w:space="0" w:color="auto"/>
        <w:bottom w:val="none" w:sz="0" w:space="0" w:color="auto"/>
        <w:right w:val="none" w:sz="0" w:space="0" w:color="auto"/>
      </w:divBdr>
    </w:div>
    <w:div w:id="1416978146">
      <w:bodyDiv w:val="1"/>
      <w:marLeft w:val="0"/>
      <w:marRight w:val="0"/>
      <w:marTop w:val="0"/>
      <w:marBottom w:val="0"/>
      <w:divBdr>
        <w:top w:val="none" w:sz="0" w:space="0" w:color="auto"/>
        <w:left w:val="none" w:sz="0" w:space="0" w:color="auto"/>
        <w:bottom w:val="none" w:sz="0" w:space="0" w:color="auto"/>
        <w:right w:val="none" w:sz="0" w:space="0" w:color="auto"/>
      </w:divBdr>
    </w:div>
    <w:div w:id="1506164771">
      <w:bodyDiv w:val="1"/>
      <w:marLeft w:val="0"/>
      <w:marRight w:val="0"/>
      <w:marTop w:val="0"/>
      <w:marBottom w:val="0"/>
      <w:divBdr>
        <w:top w:val="none" w:sz="0" w:space="0" w:color="auto"/>
        <w:left w:val="none" w:sz="0" w:space="0" w:color="auto"/>
        <w:bottom w:val="none" w:sz="0" w:space="0" w:color="auto"/>
        <w:right w:val="none" w:sz="0" w:space="0" w:color="auto"/>
      </w:divBdr>
    </w:div>
    <w:div w:id="1538200014">
      <w:bodyDiv w:val="1"/>
      <w:marLeft w:val="0"/>
      <w:marRight w:val="0"/>
      <w:marTop w:val="0"/>
      <w:marBottom w:val="0"/>
      <w:divBdr>
        <w:top w:val="none" w:sz="0" w:space="0" w:color="auto"/>
        <w:left w:val="none" w:sz="0" w:space="0" w:color="auto"/>
        <w:bottom w:val="none" w:sz="0" w:space="0" w:color="auto"/>
        <w:right w:val="none" w:sz="0" w:space="0" w:color="auto"/>
      </w:divBdr>
    </w:div>
    <w:div w:id="1676572161">
      <w:bodyDiv w:val="1"/>
      <w:marLeft w:val="0"/>
      <w:marRight w:val="0"/>
      <w:marTop w:val="0"/>
      <w:marBottom w:val="0"/>
      <w:divBdr>
        <w:top w:val="none" w:sz="0" w:space="0" w:color="auto"/>
        <w:left w:val="none" w:sz="0" w:space="0" w:color="auto"/>
        <w:bottom w:val="none" w:sz="0" w:space="0" w:color="auto"/>
        <w:right w:val="none" w:sz="0" w:space="0" w:color="auto"/>
      </w:divBdr>
    </w:div>
    <w:div w:id="1726369205">
      <w:bodyDiv w:val="1"/>
      <w:marLeft w:val="0"/>
      <w:marRight w:val="0"/>
      <w:marTop w:val="0"/>
      <w:marBottom w:val="0"/>
      <w:divBdr>
        <w:top w:val="none" w:sz="0" w:space="0" w:color="auto"/>
        <w:left w:val="none" w:sz="0" w:space="0" w:color="auto"/>
        <w:bottom w:val="none" w:sz="0" w:space="0" w:color="auto"/>
        <w:right w:val="none" w:sz="0" w:space="0" w:color="auto"/>
      </w:divBdr>
    </w:div>
    <w:div w:id="1732339865">
      <w:bodyDiv w:val="1"/>
      <w:marLeft w:val="0"/>
      <w:marRight w:val="0"/>
      <w:marTop w:val="0"/>
      <w:marBottom w:val="0"/>
      <w:divBdr>
        <w:top w:val="none" w:sz="0" w:space="0" w:color="auto"/>
        <w:left w:val="none" w:sz="0" w:space="0" w:color="auto"/>
        <w:bottom w:val="none" w:sz="0" w:space="0" w:color="auto"/>
        <w:right w:val="none" w:sz="0" w:space="0" w:color="auto"/>
      </w:divBdr>
    </w:div>
    <w:div w:id="1746143665">
      <w:bodyDiv w:val="1"/>
      <w:marLeft w:val="0"/>
      <w:marRight w:val="0"/>
      <w:marTop w:val="0"/>
      <w:marBottom w:val="0"/>
      <w:divBdr>
        <w:top w:val="none" w:sz="0" w:space="0" w:color="auto"/>
        <w:left w:val="none" w:sz="0" w:space="0" w:color="auto"/>
        <w:bottom w:val="none" w:sz="0" w:space="0" w:color="auto"/>
        <w:right w:val="none" w:sz="0" w:space="0" w:color="auto"/>
      </w:divBdr>
    </w:div>
    <w:div w:id="1924492016">
      <w:bodyDiv w:val="1"/>
      <w:marLeft w:val="0"/>
      <w:marRight w:val="0"/>
      <w:marTop w:val="0"/>
      <w:marBottom w:val="0"/>
      <w:divBdr>
        <w:top w:val="none" w:sz="0" w:space="0" w:color="auto"/>
        <w:left w:val="none" w:sz="0" w:space="0" w:color="auto"/>
        <w:bottom w:val="none" w:sz="0" w:space="0" w:color="auto"/>
        <w:right w:val="none" w:sz="0" w:space="0" w:color="auto"/>
      </w:divBdr>
    </w:div>
    <w:div w:id="1942906422">
      <w:bodyDiv w:val="1"/>
      <w:marLeft w:val="0"/>
      <w:marRight w:val="0"/>
      <w:marTop w:val="0"/>
      <w:marBottom w:val="0"/>
      <w:divBdr>
        <w:top w:val="none" w:sz="0" w:space="0" w:color="auto"/>
        <w:left w:val="none" w:sz="0" w:space="0" w:color="auto"/>
        <w:bottom w:val="none" w:sz="0" w:space="0" w:color="auto"/>
        <w:right w:val="none" w:sz="0" w:space="0" w:color="auto"/>
      </w:divBdr>
    </w:div>
    <w:div w:id="19791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5905-C7CE-4EA0-A940-F80394DD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9</Pages>
  <Words>9224</Words>
  <Characters>5259</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Anna Ziemele</cp:lastModifiedBy>
  <cp:revision>13</cp:revision>
  <cp:lastPrinted>2023-10-12T09:24:00Z</cp:lastPrinted>
  <dcterms:created xsi:type="dcterms:W3CDTF">2024-09-27T07:12:00Z</dcterms:created>
  <dcterms:modified xsi:type="dcterms:W3CDTF">2025-02-06T09:20:00Z</dcterms:modified>
</cp:coreProperties>
</file>