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0DFAE" w14:textId="41D5DB94" w:rsidR="00991E9E" w:rsidRPr="009A55BC" w:rsidRDefault="00766223" w:rsidP="009A55BC">
      <w:pPr>
        <w:spacing w:after="0" w:line="240" w:lineRule="auto"/>
        <w:jc w:val="center"/>
        <w:rPr>
          <w:rFonts w:ascii="Times New Roman" w:eastAsia="Times New Roman" w:hAnsi="Times New Roman"/>
          <w:b/>
          <w:sz w:val="24"/>
          <w:szCs w:val="24"/>
        </w:rPr>
      </w:pPr>
      <w:bookmarkStart w:id="0" w:name="_Hlk126926981"/>
      <w:bookmarkStart w:id="1" w:name="_Hlk127744886"/>
      <w:r w:rsidRPr="009A55BC">
        <w:rPr>
          <w:rFonts w:ascii="Times New Roman" w:eastAsia="Times New Roman" w:hAnsi="Times New Roman"/>
          <w:b/>
          <w:sz w:val="24"/>
          <w:szCs w:val="24"/>
        </w:rPr>
        <w:t>Stacionāro plānveida onkoloģisko pakalpojumu pieaugušajiem kvalitātes vērtēšanas kritērij</w:t>
      </w:r>
      <w:r w:rsidR="00287DF8">
        <w:rPr>
          <w:rFonts w:ascii="Times New Roman" w:eastAsia="Times New Roman" w:hAnsi="Times New Roman"/>
          <w:b/>
          <w:sz w:val="24"/>
          <w:szCs w:val="24"/>
        </w:rPr>
        <w:t>i</w:t>
      </w:r>
    </w:p>
    <w:bookmarkEnd w:id="0"/>
    <w:bookmarkEnd w:id="1"/>
    <w:p w14:paraId="300132A4" w14:textId="77777777" w:rsidR="00991E9E" w:rsidRPr="009A55BC" w:rsidRDefault="00991E9E" w:rsidP="009A55BC">
      <w:pPr>
        <w:spacing w:after="0" w:line="240" w:lineRule="auto"/>
        <w:jc w:val="both"/>
        <w:rPr>
          <w:rFonts w:ascii="Times New Roman" w:hAnsi="Times New Roman"/>
          <w:b/>
          <w:sz w:val="24"/>
          <w:szCs w:val="24"/>
          <w:u w:val="single"/>
        </w:rPr>
      </w:pPr>
    </w:p>
    <w:p w14:paraId="3900958B" w14:textId="61C7B5CD" w:rsidR="00991E9E" w:rsidRPr="009A55BC" w:rsidRDefault="00EC6EFC" w:rsidP="009A55BC">
      <w:pPr>
        <w:numPr>
          <w:ilvl w:val="0"/>
          <w:numId w:val="28"/>
        </w:numPr>
        <w:spacing w:after="0" w:line="240" w:lineRule="auto"/>
        <w:ind w:left="0" w:firstLine="0"/>
        <w:jc w:val="both"/>
        <w:rPr>
          <w:rFonts w:ascii="Times New Roman" w:hAnsi="Times New Roman"/>
          <w:sz w:val="24"/>
          <w:szCs w:val="24"/>
        </w:rPr>
      </w:pPr>
      <w:r w:rsidRPr="009A55BC">
        <w:rPr>
          <w:rFonts w:ascii="Times New Roman" w:hAnsi="Times New Roman"/>
          <w:sz w:val="24"/>
          <w:szCs w:val="24"/>
        </w:rPr>
        <w:t>Stacionāro plānveida onkoloģisko pakalpojumu pieaugušajiem</w:t>
      </w:r>
      <w:r w:rsidR="00991E9E" w:rsidRPr="009A55BC">
        <w:rPr>
          <w:rFonts w:ascii="Times New Roman" w:hAnsi="Times New Roman"/>
          <w:sz w:val="24"/>
          <w:szCs w:val="24"/>
        </w:rPr>
        <w:t xml:space="preserve"> kvalitāte t</w:t>
      </w:r>
      <w:r w:rsidR="00766223" w:rsidRPr="009A55BC">
        <w:rPr>
          <w:rFonts w:ascii="Times New Roman" w:hAnsi="Times New Roman"/>
          <w:sz w:val="24"/>
          <w:szCs w:val="24"/>
        </w:rPr>
        <w:t>i</w:t>
      </w:r>
      <w:r w:rsidR="008D239B">
        <w:rPr>
          <w:rFonts w:ascii="Times New Roman" w:hAnsi="Times New Roman"/>
          <w:sz w:val="24"/>
          <w:szCs w:val="24"/>
        </w:rPr>
        <w:t>e</w:t>
      </w:r>
      <w:r w:rsidR="00766223" w:rsidRPr="009A55BC">
        <w:rPr>
          <w:rFonts w:ascii="Times New Roman" w:hAnsi="Times New Roman"/>
          <w:sz w:val="24"/>
          <w:szCs w:val="24"/>
        </w:rPr>
        <w:t>k</w:t>
      </w:r>
      <w:r w:rsidR="00991E9E" w:rsidRPr="009A55BC">
        <w:rPr>
          <w:rFonts w:ascii="Times New Roman" w:hAnsi="Times New Roman"/>
          <w:sz w:val="24"/>
          <w:szCs w:val="24"/>
        </w:rPr>
        <w:t xml:space="preserve"> vērtēt</w:t>
      </w:r>
      <w:r w:rsidR="008D239B">
        <w:rPr>
          <w:rFonts w:ascii="Times New Roman" w:hAnsi="Times New Roman"/>
          <w:sz w:val="24"/>
          <w:szCs w:val="24"/>
        </w:rPr>
        <w:t>a</w:t>
      </w:r>
      <w:r w:rsidR="00991E9E" w:rsidRPr="009A55BC">
        <w:rPr>
          <w:rFonts w:ascii="Times New Roman" w:hAnsi="Times New Roman"/>
          <w:sz w:val="24"/>
          <w:szCs w:val="24"/>
        </w:rPr>
        <w:t xml:space="preserve"> reizi gadā </w:t>
      </w:r>
      <w:r w:rsidR="00E17C88" w:rsidRPr="009A55BC">
        <w:rPr>
          <w:rFonts w:ascii="Times New Roman" w:hAnsi="Times New Roman"/>
          <w:sz w:val="24"/>
          <w:szCs w:val="24"/>
        </w:rPr>
        <w:t>par iepriekšējo kalendāro gadu</w:t>
      </w:r>
      <w:r w:rsidR="008D239B">
        <w:rPr>
          <w:rFonts w:ascii="Times New Roman" w:hAnsi="Times New Roman"/>
          <w:sz w:val="24"/>
          <w:szCs w:val="24"/>
        </w:rPr>
        <w:t xml:space="preserve">, </w:t>
      </w:r>
      <w:r w:rsidR="00676170">
        <w:rPr>
          <w:rFonts w:ascii="Times New Roman" w:hAnsi="Times New Roman"/>
          <w:sz w:val="24"/>
          <w:szCs w:val="24"/>
        </w:rPr>
        <w:t>saskaņā ar šaj</w:t>
      </w:r>
      <w:r w:rsidR="00AF560C">
        <w:rPr>
          <w:rFonts w:ascii="Times New Roman" w:hAnsi="Times New Roman"/>
          <w:sz w:val="24"/>
          <w:szCs w:val="24"/>
        </w:rPr>
        <w:t>ā kārtībā noteikto vērtēšanas kritēriju metodiku</w:t>
      </w:r>
      <w:r w:rsidR="008D239B">
        <w:rPr>
          <w:rFonts w:ascii="Times New Roman" w:hAnsi="Times New Roman"/>
          <w:sz w:val="24"/>
          <w:szCs w:val="24"/>
        </w:rPr>
        <w:t>.</w:t>
      </w:r>
      <w:r w:rsidR="00991E9E" w:rsidRPr="009A55BC">
        <w:rPr>
          <w:rFonts w:ascii="Times New Roman" w:hAnsi="Times New Roman"/>
          <w:sz w:val="24"/>
          <w:szCs w:val="24"/>
        </w:rPr>
        <w:t xml:space="preserve"> </w:t>
      </w:r>
      <w:r w:rsidR="008D239B" w:rsidRPr="009A55BC">
        <w:rPr>
          <w:rFonts w:ascii="Times New Roman" w:hAnsi="Times New Roman"/>
          <w:sz w:val="24"/>
          <w:szCs w:val="24"/>
        </w:rPr>
        <w:t>D</w:t>
      </w:r>
      <w:r w:rsidR="008D239B">
        <w:rPr>
          <w:rFonts w:ascii="Times New Roman" w:hAnsi="Times New Roman"/>
          <w:sz w:val="24"/>
          <w:szCs w:val="24"/>
        </w:rPr>
        <w:t>IENESTS</w:t>
      </w:r>
      <w:r w:rsidR="008D239B" w:rsidRPr="009A55BC">
        <w:rPr>
          <w:rFonts w:ascii="Times New Roman" w:hAnsi="Times New Roman"/>
          <w:sz w:val="24"/>
          <w:szCs w:val="24"/>
        </w:rPr>
        <w:t xml:space="preserve"> </w:t>
      </w:r>
      <w:r w:rsidR="00991E9E" w:rsidRPr="009A55BC">
        <w:rPr>
          <w:rFonts w:ascii="Times New Roman" w:hAnsi="Times New Roman"/>
          <w:sz w:val="24"/>
          <w:szCs w:val="24"/>
        </w:rPr>
        <w:t xml:space="preserve">ir tiesīgs pārskatīt </w:t>
      </w:r>
      <w:r w:rsidR="008D239B">
        <w:rPr>
          <w:rFonts w:ascii="Times New Roman" w:hAnsi="Times New Roman"/>
          <w:sz w:val="24"/>
          <w:szCs w:val="24"/>
        </w:rPr>
        <w:t>L</w:t>
      </w:r>
      <w:r w:rsidR="00991E9E" w:rsidRPr="009A55BC">
        <w:rPr>
          <w:rFonts w:ascii="Times New Roman" w:hAnsi="Times New Roman"/>
          <w:sz w:val="24"/>
          <w:szCs w:val="24"/>
        </w:rPr>
        <w:t xml:space="preserve">īguma nosacījumus vai </w:t>
      </w:r>
      <w:r w:rsidR="008D239B">
        <w:rPr>
          <w:rFonts w:ascii="Times New Roman" w:hAnsi="Times New Roman"/>
          <w:sz w:val="24"/>
          <w:szCs w:val="24"/>
        </w:rPr>
        <w:t>izbeigt</w:t>
      </w:r>
      <w:r w:rsidR="00991E9E" w:rsidRPr="009A55BC">
        <w:rPr>
          <w:rFonts w:ascii="Times New Roman" w:hAnsi="Times New Roman"/>
          <w:sz w:val="24"/>
          <w:szCs w:val="24"/>
        </w:rPr>
        <w:t xml:space="preserve"> </w:t>
      </w:r>
      <w:r w:rsidR="008D239B">
        <w:rPr>
          <w:rFonts w:ascii="Times New Roman" w:hAnsi="Times New Roman"/>
          <w:sz w:val="24"/>
          <w:szCs w:val="24"/>
        </w:rPr>
        <w:t>L</w:t>
      </w:r>
      <w:r w:rsidR="00991E9E" w:rsidRPr="009A55BC">
        <w:rPr>
          <w:rFonts w:ascii="Times New Roman" w:hAnsi="Times New Roman"/>
          <w:sz w:val="24"/>
          <w:szCs w:val="24"/>
        </w:rPr>
        <w:t>īgumu</w:t>
      </w:r>
      <w:r w:rsidR="008D239B">
        <w:rPr>
          <w:rFonts w:ascii="Times New Roman" w:hAnsi="Times New Roman"/>
          <w:sz w:val="24"/>
          <w:szCs w:val="24"/>
        </w:rPr>
        <w:t xml:space="preserve">, </w:t>
      </w:r>
      <w:r w:rsidR="00991E9E" w:rsidRPr="009A55BC">
        <w:rPr>
          <w:rFonts w:ascii="Times New Roman" w:hAnsi="Times New Roman"/>
          <w:sz w:val="24"/>
          <w:szCs w:val="24"/>
        </w:rPr>
        <w:t>ja vērtēšanas kritēriji ir nepieņemamā līmenī</w:t>
      </w:r>
      <w:r w:rsidR="009A55BC" w:rsidRPr="009A55BC">
        <w:rPr>
          <w:rFonts w:ascii="Times New Roman" w:hAnsi="Times New Roman"/>
          <w:sz w:val="24"/>
          <w:szCs w:val="24"/>
        </w:rPr>
        <w:t>.</w:t>
      </w:r>
    </w:p>
    <w:p w14:paraId="6675D8C6" w14:textId="77777777" w:rsidR="00991E9E" w:rsidRPr="009A55BC" w:rsidRDefault="00991E9E" w:rsidP="009A55BC">
      <w:pPr>
        <w:spacing w:after="0" w:line="240" w:lineRule="auto"/>
        <w:jc w:val="both"/>
        <w:rPr>
          <w:rFonts w:ascii="Times New Roman" w:hAnsi="Times New Roman"/>
          <w:sz w:val="24"/>
          <w:szCs w:val="24"/>
        </w:rPr>
      </w:pPr>
    </w:p>
    <w:p w14:paraId="6838F39E" w14:textId="06A15A92" w:rsidR="00991E9E" w:rsidRPr="009A55BC" w:rsidRDefault="00991E9E" w:rsidP="009A55BC">
      <w:pPr>
        <w:numPr>
          <w:ilvl w:val="0"/>
          <w:numId w:val="28"/>
        </w:numPr>
        <w:spacing w:after="0" w:line="240" w:lineRule="auto"/>
        <w:ind w:left="0" w:firstLine="0"/>
        <w:jc w:val="both"/>
        <w:rPr>
          <w:rFonts w:ascii="Times New Roman" w:hAnsi="Times New Roman"/>
          <w:sz w:val="24"/>
          <w:szCs w:val="24"/>
        </w:rPr>
      </w:pPr>
      <w:r w:rsidRPr="009A55BC">
        <w:rPr>
          <w:rFonts w:ascii="Times New Roman" w:hAnsi="Times New Roman"/>
          <w:sz w:val="24"/>
          <w:szCs w:val="24"/>
        </w:rPr>
        <w:t>Dienests ir tiesīgs noteikt papildus kvalitātes vērtēšanas kritērijus</w:t>
      </w:r>
      <w:r w:rsidR="008D239B">
        <w:rPr>
          <w:rFonts w:ascii="Times New Roman" w:hAnsi="Times New Roman"/>
          <w:sz w:val="24"/>
          <w:szCs w:val="24"/>
        </w:rPr>
        <w:t>,</w:t>
      </w:r>
      <w:r w:rsidRPr="009A55BC">
        <w:rPr>
          <w:rFonts w:ascii="Times New Roman" w:hAnsi="Times New Roman"/>
          <w:sz w:val="24"/>
          <w:szCs w:val="24"/>
        </w:rPr>
        <w:t xml:space="preserve"> par to iepriekš rakstiski informējot ārstniecības iestādi</w:t>
      </w:r>
      <w:r w:rsidR="009E325F" w:rsidRPr="009A55BC">
        <w:rPr>
          <w:rFonts w:ascii="Times New Roman" w:hAnsi="Times New Roman"/>
          <w:sz w:val="24"/>
          <w:szCs w:val="24"/>
        </w:rPr>
        <w:t>.</w:t>
      </w:r>
    </w:p>
    <w:p w14:paraId="2B00F687" w14:textId="77777777" w:rsidR="00D278A6" w:rsidRPr="009A55BC" w:rsidRDefault="00D278A6" w:rsidP="009A55BC">
      <w:pPr>
        <w:spacing w:after="0" w:line="240" w:lineRule="auto"/>
        <w:jc w:val="both"/>
        <w:rPr>
          <w:rFonts w:ascii="Times New Roman" w:hAnsi="Times New Roman"/>
          <w:sz w:val="24"/>
          <w:szCs w:val="24"/>
        </w:rPr>
      </w:pPr>
    </w:p>
    <w:p w14:paraId="087A3D1B" w14:textId="0DC6CC8B" w:rsidR="00E82384" w:rsidRPr="00E57522" w:rsidRDefault="00930B46" w:rsidP="003112BE">
      <w:pPr>
        <w:numPr>
          <w:ilvl w:val="0"/>
          <w:numId w:val="28"/>
        </w:numPr>
        <w:spacing w:after="0" w:line="240" w:lineRule="auto"/>
        <w:ind w:left="0" w:firstLine="0"/>
        <w:jc w:val="both"/>
        <w:rPr>
          <w:rFonts w:ascii="Times New Roman" w:hAnsi="Times New Roman"/>
          <w:sz w:val="24"/>
          <w:szCs w:val="24"/>
        </w:rPr>
      </w:pPr>
      <w:r w:rsidRPr="00E57522">
        <w:rPr>
          <w:rFonts w:ascii="Times New Roman" w:hAnsi="Times New Roman"/>
          <w:sz w:val="24"/>
          <w:szCs w:val="24"/>
        </w:rPr>
        <w:t>Kritēriju</w:t>
      </w:r>
      <w:r w:rsidR="00A15F99" w:rsidRPr="00E57522">
        <w:rPr>
          <w:rFonts w:ascii="Times New Roman" w:hAnsi="Times New Roman"/>
          <w:sz w:val="24"/>
          <w:szCs w:val="24"/>
        </w:rPr>
        <w:t>s</w:t>
      </w:r>
      <w:r w:rsidRPr="00E57522">
        <w:rPr>
          <w:rFonts w:ascii="Times New Roman" w:hAnsi="Times New Roman"/>
          <w:sz w:val="24"/>
          <w:szCs w:val="24"/>
        </w:rPr>
        <w:t xml:space="preserve"> aprēķina</w:t>
      </w:r>
      <w:r w:rsidR="00103052" w:rsidRPr="00E57522">
        <w:rPr>
          <w:rFonts w:ascii="Times New Roman" w:hAnsi="Times New Roman"/>
          <w:sz w:val="24"/>
          <w:szCs w:val="24"/>
        </w:rPr>
        <w:t>,</w:t>
      </w:r>
      <w:r w:rsidR="00A15F99" w:rsidRPr="00E57522">
        <w:rPr>
          <w:rFonts w:ascii="Times New Roman" w:hAnsi="Times New Roman"/>
          <w:sz w:val="24"/>
          <w:szCs w:val="24"/>
        </w:rPr>
        <w:t xml:space="preserve"> izmantojot</w:t>
      </w:r>
      <w:r w:rsidRPr="00E57522">
        <w:rPr>
          <w:rFonts w:ascii="Times New Roman" w:hAnsi="Times New Roman"/>
          <w:sz w:val="24"/>
          <w:szCs w:val="24"/>
        </w:rPr>
        <w:t xml:space="preserve"> datus no</w:t>
      </w:r>
      <w:r w:rsidR="00452EA6" w:rsidRPr="00E57522">
        <w:rPr>
          <w:rFonts w:ascii="Times New Roman" w:hAnsi="Times New Roman"/>
          <w:sz w:val="24"/>
          <w:szCs w:val="24"/>
        </w:rPr>
        <w:t xml:space="preserve"> D</w:t>
      </w:r>
      <w:r w:rsidR="008D239B" w:rsidRPr="00E57522">
        <w:rPr>
          <w:rFonts w:ascii="Times New Roman" w:hAnsi="Times New Roman"/>
          <w:sz w:val="24"/>
          <w:szCs w:val="24"/>
        </w:rPr>
        <w:t>IENESTA</w:t>
      </w:r>
      <w:r w:rsidR="00B75503" w:rsidRPr="00E57522">
        <w:rPr>
          <w:rFonts w:ascii="Times New Roman" w:hAnsi="Times New Roman"/>
          <w:sz w:val="24"/>
          <w:szCs w:val="24"/>
        </w:rPr>
        <w:t xml:space="preserve"> un</w:t>
      </w:r>
      <w:r w:rsidR="008D239B" w:rsidRPr="00E57522">
        <w:rPr>
          <w:rFonts w:ascii="Times New Roman" w:hAnsi="Times New Roman"/>
          <w:sz w:val="24"/>
          <w:szCs w:val="24"/>
        </w:rPr>
        <w:t xml:space="preserve"> SIA “Latvijas Digitālās veselības centrs” </w:t>
      </w:r>
      <w:r w:rsidR="00103052" w:rsidRPr="00E57522">
        <w:rPr>
          <w:rFonts w:ascii="Times New Roman" w:hAnsi="Times New Roman"/>
          <w:sz w:val="24"/>
          <w:szCs w:val="24"/>
        </w:rPr>
        <w:t>pārziņā esošām informācijas sistēmā</w:t>
      </w:r>
      <w:r w:rsidR="008D239B" w:rsidRPr="00E57522">
        <w:rPr>
          <w:rFonts w:ascii="Times New Roman" w:hAnsi="Times New Roman"/>
          <w:sz w:val="24"/>
          <w:szCs w:val="24"/>
        </w:rPr>
        <w:t>m</w:t>
      </w:r>
      <w:r w:rsidR="00103052" w:rsidRPr="00E57522">
        <w:rPr>
          <w:rFonts w:ascii="Times New Roman" w:hAnsi="Times New Roman"/>
          <w:sz w:val="24"/>
          <w:szCs w:val="24"/>
        </w:rPr>
        <w:t>,</w:t>
      </w:r>
      <w:r w:rsidR="00A15F99" w:rsidRPr="00E57522">
        <w:rPr>
          <w:rFonts w:ascii="Times New Roman" w:hAnsi="Times New Roman"/>
          <w:sz w:val="24"/>
          <w:szCs w:val="24"/>
        </w:rPr>
        <w:t xml:space="preserve"> piemērojot šādu metodiku:</w:t>
      </w:r>
    </w:p>
    <w:p w14:paraId="7BA48466" w14:textId="77777777" w:rsidR="009A55BC" w:rsidRPr="009A55BC" w:rsidRDefault="009A55BC" w:rsidP="009A55BC">
      <w:pPr>
        <w:spacing w:after="0" w:line="240" w:lineRule="auto"/>
        <w:jc w:val="both"/>
        <w:rPr>
          <w:rFonts w:ascii="Times New Roman" w:hAnsi="Times New Roman"/>
          <w:sz w:val="24"/>
          <w:szCs w:val="24"/>
        </w:rPr>
      </w:pPr>
    </w:p>
    <w:tbl>
      <w:tblPr>
        <w:tblStyle w:val="TableGrid"/>
        <w:tblW w:w="9923" w:type="dxa"/>
        <w:tblInd w:w="-5" w:type="dxa"/>
        <w:tblLook w:val="04A0" w:firstRow="1" w:lastRow="0" w:firstColumn="1" w:lastColumn="0" w:noHBand="0" w:noVBand="1"/>
      </w:tblPr>
      <w:tblGrid>
        <w:gridCol w:w="1287"/>
        <w:gridCol w:w="2824"/>
        <w:gridCol w:w="5812"/>
      </w:tblGrid>
      <w:tr w:rsidR="00592EA9" w:rsidRPr="009A55BC" w14:paraId="2CC94416" w14:textId="77777777" w:rsidTr="003112BE">
        <w:trPr>
          <w:cantSplit/>
          <w:trHeight w:val="425"/>
        </w:trPr>
        <w:tc>
          <w:tcPr>
            <w:tcW w:w="1287" w:type="dxa"/>
            <w:shd w:val="clear" w:color="auto" w:fill="E7E6E6" w:themeFill="background2"/>
            <w:vAlign w:val="center"/>
          </w:tcPr>
          <w:p w14:paraId="5486DF11" w14:textId="4DCEDD23" w:rsidR="00607814" w:rsidRPr="009A55BC" w:rsidRDefault="00A15F99" w:rsidP="002F1A38">
            <w:pPr>
              <w:spacing w:line="240" w:lineRule="auto"/>
              <w:jc w:val="center"/>
              <w:rPr>
                <w:rFonts w:ascii="Times New Roman" w:eastAsia="Times New Roman" w:hAnsi="Times New Roman"/>
                <w:bCs/>
                <w:sz w:val="24"/>
                <w:szCs w:val="24"/>
                <w:lang w:eastAsia="lv-LV"/>
              </w:rPr>
            </w:pPr>
            <w:r w:rsidRPr="009A55BC">
              <w:rPr>
                <w:rFonts w:ascii="Times New Roman" w:eastAsia="Times New Roman" w:hAnsi="Times New Roman"/>
                <w:bCs/>
                <w:sz w:val="24"/>
                <w:szCs w:val="24"/>
                <w:lang w:eastAsia="lv-LV"/>
              </w:rPr>
              <w:t>N.p.k.</w:t>
            </w:r>
          </w:p>
        </w:tc>
        <w:tc>
          <w:tcPr>
            <w:tcW w:w="2824" w:type="dxa"/>
            <w:shd w:val="clear" w:color="auto" w:fill="E7E6E6" w:themeFill="background2"/>
            <w:vAlign w:val="center"/>
          </w:tcPr>
          <w:p w14:paraId="55287A19" w14:textId="77777777" w:rsidR="00607814" w:rsidRPr="009A55BC" w:rsidRDefault="00607814" w:rsidP="002F1A38">
            <w:pPr>
              <w:spacing w:line="240" w:lineRule="auto"/>
              <w:jc w:val="center"/>
              <w:rPr>
                <w:rFonts w:ascii="Times New Roman" w:eastAsia="Times New Roman" w:hAnsi="Times New Roman"/>
                <w:bCs/>
                <w:sz w:val="24"/>
                <w:szCs w:val="24"/>
                <w:lang w:eastAsia="lv-LV"/>
              </w:rPr>
            </w:pPr>
            <w:r w:rsidRPr="009A55BC">
              <w:rPr>
                <w:rFonts w:ascii="Times New Roman" w:eastAsia="Times New Roman" w:hAnsi="Times New Roman"/>
                <w:bCs/>
                <w:sz w:val="24"/>
                <w:szCs w:val="24"/>
                <w:lang w:eastAsia="lv-LV"/>
              </w:rPr>
              <w:t>Kritērijs</w:t>
            </w:r>
          </w:p>
        </w:tc>
        <w:tc>
          <w:tcPr>
            <w:tcW w:w="5812" w:type="dxa"/>
            <w:shd w:val="clear" w:color="auto" w:fill="E7E6E6" w:themeFill="background2"/>
            <w:vAlign w:val="center"/>
          </w:tcPr>
          <w:p w14:paraId="0CE0F2A4" w14:textId="77777777" w:rsidR="00607814" w:rsidRPr="009A55BC" w:rsidRDefault="00607814" w:rsidP="002F1A38">
            <w:pPr>
              <w:spacing w:line="240" w:lineRule="auto"/>
              <w:jc w:val="center"/>
              <w:rPr>
                <w:rFonts w:ascii="Times New Roman" w:eastAsia="Times New Roman" w:hAnsi="Times New Roman"/>
                <w:bCs/>
                <w:sz w:val="24"/>
                <w:szCs w:val="24"/>
                <w:lang w:eastAsia="lv-LV"/>
              </w:rPr>
            </w:pPr>
            <w:r w:rsidRPr="009A55BC">
              <w:rPr>
                <w:rFonts w:ascii="Times New Roman" w:eastAsia="Times New Roman" w:hAnsi="Times New Roman"/>
                <w:bCs/>
                <w:sz w:val="24"/>
                <w:szCs w:val="24"/>
                <w:lang w:eastAsia="lv-LV"/>
              </w:rPr>
              <w:t>Kritērija aprēķina metodika</w:t>
            </w:r>
          </w:p>
        </w:tc>
      </w:tr>
      <w:tr w:rsidR="00592EA9" w:rsidRPr="009A55BC" w14:paraId="15F1A2AC" w14:textId="77777777" w:rsidTr="009A55BC">
        <w:trPr>
          <w:cantSplit/>
        </w:trPr>
        <w:tc>
          <w:tcPr>
            <w:tcW w:w="1287" w:type="dxa"/>
          </w:tcPr>
          <w:p w14:paraId="5B98DB0C" w14:textId="4A0A0C87" w:rsidR="00607814" w:rsidRPr="009A55BC" w:rsidRDefault="00CF2F91"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3.1.</w:t>
            </w:r>
          </w:p>
        </w:tc>
        <w:tc>
          <w:tcPr>
            <w:tcW w:w="2824" w:type="dxa"/>
          </w:tcPr>
          <w:p w14:paraId="12183DE5" w14:textId="10CEF0A8" w:rsidR="00607814" w:rsidRPr="009A55BC" w:rsidRDefault="00607814"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 xml:space="preserve">Radikālo mastektomiju </w:t>
            </w:r>
            <w:r w:rsidR="00DA47D0" w:rsidRPr="009A55BC">
              <w:rPr>
                <w:rFonts w:ascii="Times New Roman" w:hAnsi="Times New Roman"/>
                <w:sz w:val="24"/>
                <w:szCs w:val="24"/>
              </w:rPr>
              <w:t xml:space="preserve">procentuālais </w:t>
            </w:r>
            <w:r w:rsidRPr="009A55BC">
              <w:rPr>
                <w:rFonts w:ascii="Times New Roman" w:hAnsi="Times New Roman"/>
                <w:sz w:val="24"/>
                <w:szCs w:val="24"/>
              </w:rPr>
              <w:t>īpatsvars pacientiem ar</w:t>
            </w:r>
            <w:r w:rsidR="008D239B">
              <w:rPr>
                <w:rFonts w:ascii="Times New Roman" w:hAnsi="Times New Roman"/>
                <w:sz w:val="24"/>
                <w:szCs w:val="24"/>
              </w:rPr>
              <w:t xml:space="preserve"> pamata izrakstīšanās</w:t>
            </w:r>
            <w:r w:rsidRPr="009A55BC">
              <w:rPr>
                <w:rFonts w:ascii="Times New Roman" w:hAnsi="Times New Roman"/>
                <w:sz w:val="24"/>
                <w:szCs w:val="24"/>
              </w:rPr>
              <w:t xml:space="preserve"> dia</w:t>
            </w:r>
            <w:r w:rsidR="00C853F4" w:rsidRPr="009A55BC">
              <w:rPr>
                <w:rFonts w:ascii="Times New Roman" w:hAnsi="Times New Roman"/>
                <w:sz w:val="24"/>
                <w:szCs w:val="24"/>
              </w:rPr>
              <w:t>gnozi C50 agrīnā vēža stadijā (</w:t>
            </w:r>
            <w:r w:rsidRPr="009A55BC">
              <w:rPr>
                <w:rFonts w:ascii="Times New Roman" w:hAnsi="Times New Roman"/>
                <w:sz w:val="24"/>
                <w:szCs w:val="24"/>
              </w:rPr>
              <w:t>1.-2. stadija)</w:t>
            </w:r>
          </w:p>
        </w:tc>
        <w:tc>
          <w:tcPr>
            <w:tcW w:w="5812" w:type="dxa"/>
          </w:tcPr>
          <w:p w14:paraId="2C40D924" w14:textId="1A9D87B9" w:rsidR="00C853F4" w:rsidRPr="009A55BC" w:rsidRDefault="00ED330E" w:rsidP="008D239B">
            <w:pPr>
              <w:pStyle w:val="ListParagraph"/>
              <w:pBdr>
                <w:top w:val="single" w:sz="4" w:space="1" w:color="auto"/>
                <w:left w:val="single" w:sz="4" w:space="4" w:color="auto"/>
                <w:bottom w:val="single" w:sz="4" w:space="1" w:color="auto"/>
                <w:right w:val="single" w:sz="4" w:space="4" w:color="auto"/>
              </w:pBdr>
              <w:spacing w:line="240" w:lineRule="auto"/>
              <w:ind w:left="0"/>
              <w:jc w:val="center"/>
              <w:rPr>
                <w:rFonts w:ascii="Times New Roman" w:hAnsi="Times New Roman"/>
                <w:sz w:val="24"/>
                <w:szCs w:val="24"/>
              </w:rPr>
            </w:pPr>
            <w:r w:rsidRPr="009A55BC">
              <w:rPr>
                <w:rFonts w:ascii="Times New Roman" w:hAnsi="Times New Roman"/>
                <w:sz w:val="24"/>
                <w:szCs w:val="24"/>
              </w:rPr>
              <w:t xml:space="preserve">plānveidā </w:t>
            </w:r>
            <w:r w:rsidR="00744028" w:rsidRPr="009A55BC">
              <w:rPr>
                <w:rFonts w:ascii="Times New Roman" w:hAnsi="Times New Roman"/>
                <w:sz w:val="24"/>
                <w:szCs w:val="24"/>
              </w:rPr>
              <w:t>v</w:t>
            </w:r>
            <w:r w:rsidR="00C853F4" w:rsidRPr="009A55BC">
              <w:rPr>
                <w:rFonts w:ascii="Times New Roman" w:hAnsi="Times New Roman"/>
                <w:sz w:val="24"/>
                <w:szCs w:val="24"/>
              </w:rPr>
              <w:t xml:space="preserve">eikto radikālo mastektomiju </w:t>
            </w:r>
            <w:r w:rsidR="0021037C" w:rsidRPr="009A55BC">
              <w:rPr>
                <w:rFonts w:ascii="Times New Roman" w:hAnsi="Times New Roman"/>
                <w:sz w:val="24"/>
                <w:szCs w:val="24"/>
              </w:rPr>
              <w:t xml:space="preserve">(HAC25- </w:t>
            </w:r>
            <w:r w:rsidRPr="009A55BC">
              <w:rPr>
                <w:rFonts w:ascii="Times New Roman" w:hAnsi="Times New Roman"/>
                <w:sz w:val="24"/>
                <w:szCs w:val="24"/>
              </w:rPr>
              <w:t>r</w:t>
            </w:r>
            <w:r w:rsidR="0021037C" w:rsidRPr="009A55BC">
              <w:rPr>
                <w:rFonts w:ascii="Times New Roman" w:hAnsi="Times New Roman"/>
                <w:sz w:val="24"/>
                <w:szCs w:val="24"/>
              </w:rPr>
              <w:t xml:space="preserve">adikāla mastektomija) </w:t>
            </w:r>
            <w:r w:rsidR="00C853F4" w:rsidRPr="009A55BC">
              <w:rPr>
                <w:rFonts w:ascii="Times New Roman" w:hAnsi="Times New Roman"/>
                <w:sz w:val="24"/>
                <w:szCs w:val="24"/>
              </w:rPr>
              <w:t>sk</w:t>
            </w:r>
            <w:r w:rsidR="0021037C" w:rsidRPr="009A55BC">
              <w:rPr>
                <w:rFonts w:ascii="Times New Roman" w:hAnsi="Times New Roman"/>
                <w:sz w:val="24"/>
                <w:szCs w:val="24"/>
              </w:rPr>
              <w:t>a</w:t>
            </w:r>
            <w:r w:rsidR="00C853F4" w:rsidRPr="009A55BC">
              <w:rPr>
                <w:rFonts w:ascii="Times New Roman" w:hAnsi="Times New Roman"/>
                <w:sz w:val="24"/>
                <w:szCs w:val="24"/>
              </w:rPr>
              <w:t>its</w:t>
            </w:r>
            <w:r w:rsidR="0021037C" w:rsidRPr="009A55BC">
              <w:rPr>
                <w:rFonts w:ascii="Times New Roman" w:hAnsi="Times New Roman"/>
                <w:sz w:val="24"/>
                <w:szCs w:val="24"/>
              </w:rPr>
              <w:t xml:space="preserve"> pacientiem ar diagnozi C50 agrīnā vēža stadijā (1.-2. stadija)</w:t>
            </w:r>
            <w:r w:rsidRPr="009A55BC">
              <w:rPr>
                <w:rFonts w:ascii="Times New Roman" w:hAnsi="Times New Roman"/>
                <w:sz w:val="24"/>
                <w:szCs w:val="24"/>
                <w:vertAlign w:val="superscript"/>
              </w:rPr>
              <w:t>1</w:t>
            </w:r>
            <w:r w:rsidR="005A34F0">
              <w:rPr>
                <w:rFonts w:ascii="Times New Roman" w:hAnsi="Times New Roman"/>
                <w:sz w:val="24"/>
                <w:szCs w:val="24"/>
                <w:vertAlign w:val="superscript"/>
              </w:rPr>
              <w:t xml:space="preserve"> </w:t>
            </w:r>
            <w:r w:rsidR="0021037C" w:rsidRPr="009A55BC">
              <w:rPr>
                <w:rFonts w:ascii="Times New Roman" w:hAnsi="Times New Roman"/>
                <w:sz w:val="24"/>
                <w:szCs w:val="24"/>
              </w:rPr>
              <w:t>/</w:t>
            </w:r>
            <w:r w:rsidR="008D239B">
              <w:rPr>
                <w:rFonts w:ascii="Times New Roman" w:hAnsi="Times New Roman"/>
                <w:sz w:val="24"/>
                <w:szCs w:val="24"/>
              </w:rPr>
              <w:t xml:space="preserve"> </w:t>
            </w:r>
            <w:r w:rsidR="00744028" w:rsidRPr="009A55BC">
              <w:rPr>
                <w:rFonts w:ascii="Times New Roman" w:hAnsi="Times New Roman"/>
                <w:sz w:val="24"/>
                <w:szCs w:val="24"/>
              </w:rPr>
              <w:t xml:space="preserve">kopējais </w:t>
            </w:r>
            <w:r w:rsidRPr="009A55BC">
              <w:rPr>
                <w:rFonts w:ascii="Times New Roman" w:hAnsi="Times New Roman"/>
                <w:sz w:val="24"/>
                <w:szCs w:val="24"/>
              </w:rPr>
              <w:t xml:space="preserve">plānveidā </w:t>
            </w:r>
            <w:r w:rsidR="00744028" w:rsidRPr="009A55BC">
              <w:rPr>
                <w:rFonts w:ascii="Times New Roman" w:hAnsi="Times New Roman"/>
                <w:sz w:val="24"/>
                <w:szCs w:val="24"/>
              </w:rPr>
              <w:t>v</w:t>
            </w:r>
            <w:r w:rsidR="0021037C" w:rsidRPr="009A55BC">
              <w:rPr>
                <w:rFonts w:ascii="Times New Roman" w:hAnsi="Times New Roman"/>
                <w:sz w:val="24"/>
                <w:szCs w:val="24"/>
              </w:rPr>
              <w:t>eikt</w:t>
            </w:r>
            <w:r w:rsidR="002F1A38">
              <w:rPr>
                <w:rFonts w:ascii="Times New Roman" w:hAnsi="Times New Roman"/>
                <w:sz w:val="24"/>
                <w:szCs w:val="24"/>
              </w:rPr>
              <w:t>ais</w:t>
            </w:r>
            <w:r w:rsidR="0021037C" w:rsidRPr="009A55BC">
              <w:rPr>
                <w:rFonts w:ascii="Times New Roman" w:hAnsi="Times New Roman"/>
                <w:sz w:val="24"/>
                <w:szCs w:val="24"/>
              </w:rPr>
              <w:t xml:space="preserve"> daļējo krūts ekcīziju </w:t>
            </w:r>
            <w:r w:rsidR="00744028" w:rsidRPr="009A55BC">
              <w:rPr>
                <w:rFonts w:ascii="Times New Roman" w:hAnsi="Times New Roman"/>
                <w:sz w:val="24"/>
                <w:szCs w:val="24"/>
              </w:rPr>
              <w:t xml:space="preserve">(HAB kodi) un </w:t>
            </w:r>
            <w:r w:rsidR="0021037C" w:rsidRPr="009A55BC">
              <w:rPr>
                <w:rFonts w:ascii="Times New Roman" w:hAnsi="Times New Roman"/>
                <w:sz w:val="24"/>
                <w:szCs w:val="24"/>
              </w:rPr>
              <w:t>mastektomiju (HAC kodi) skaits pacientiem ar diagnozi C50 agrīnā vēža stadijā (1.-2. stadija)</w:t>
            </w:r>
            <w:r w:rsidR="002F1A38">
              <w:rPr>
                <w:rFonts w:ascii="Times New Roman" w:hAnsi="Times New Roman"/>
                <w:sz w:val="24"/>
                <w:szCs w:val="24"/>
              </w:rPr>
              <w:t>,</w:t>
            </w:r>
            <w:r w:rsidR="00561609" w:rsidRPr="009A55BC">
              <w:rPr>
                <w:rFonts w:ascii="Times New Roman" w:hAnsi="Times New Roman"/>
                <w:sz w:val="24"/>
                <w:szCs w:val="24"/>
              </w:rPr>
              <w:t xml:space="preserve"> </w:t>
            </w:r>
            <w:r w:rsidR="00744028" w:rsidRPr="009A55BC">
              <w:rPr>
                <w:rFonts w:ascii="Times New Roman" w:hAnsi="Times New Roman"/>
                <w:sz w:val="24"/>
                <w:szCs w:val="24"/>
              </w:rPr>
              <w:t>izteikts %</w:t>
            </w:r>
            <w:r w:rsidR="00F365AC" w:rsidRPr="009A55BC">
              <w:rPr>
                <w:rFonts w:ascii="Times New Roman" w:hAnsi="Times New Roman"/>
                <w:sz w:val="24"/>
                <w:szCs w:val="24"/>
                <w:vertAlign w:val="superscript"/>
              </w:rPr>
              <w:t>2</w:t>
            </w:r>
          </w:p>
          <w:p w14:paraId="4ED6FA5E" w14:textId="68C191FF" w:rsidR="00C853F4" w:rsidRPr="009A55BC" w:rsidRDefault="00ED330E"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vertAlign w:val="superscript"/>
              </w:rPr>
              <w:t>1</w:t>
            </w:r>
            <w:r w:rsidRPr="009A55BC">
              <w:rPr>
                <w:rFonts w:ascii="Times New Roman" w:hAnsi="Times New Roman"/>
                <w:sz w:val="24"/>
                <w:szCs w:val="24"/>
              </w:rPr>
              <w:t xml:space="preserve"> D</w:t>
            </w:r>
            <w:r w:rsidR="00341369" w:rsidRPr="009A55BC">
              <w:rPr>
                <w:rFonts w:ascii="Times New Roman" w:hAnsi="Times New Roman"/>
                <w:sz w:val="24"/>
                <w:szCs w:val="24"/>
              </w:rPr>
              <w:t>atus par pacienta vēža stadiju iegūst no D</w:t>
            </w:r>
            <w:r w:rsidR="008D239B">
              <w:rPr>
                <w:rFonts w:ascii="Times New Roman" w:hAnsi="Times New Roman"/>
                <w:sz w:val="24"/>
                <w:szCs w:val="24"/>
              </w:rPr>
              <w:t>IENESTA</w:t>
            </w:r>
            <w:r w:rsidR="00341369" w:rsidRPr="009A55BC">
              <w:rPr>
                <w:rFonts w:ascii="Times New Roman" w:hAnsi="Times New Roman"/>
                <w:sz w:val="24"/>
                <w:szCs w:val="24"/>
              </w:rPr>
              <w:t xml:space="preserve"> veselības aprūpes pakalpojumu apmaksas norēķinu sistēmas “Vadības informācijas sistēma”   datubāzes pacientu grupu veidā</w:t>
            </w:r>
            <w:r w:rsidR="00AB76E4">
              <w:rPr>
                <w:rFonts w:ascii="Times New Roman" w:hAnsi="Times New Roman"/>
                <w:sz w:val="24"/>
                <w:szCs w:val="24"/>
              </w:rPr>
              <w:t>.</w:t>
            </w:r>
          </w:p>
          <w:p w14:paraId="284FBC25" w14:textId="650AD41A" w:rsidR="00C853F4" w:rsidRPr="009A55BC" w:rsidRDefault="00F365AC" w:rsidP="009A55BC">
            <w:pPr>
              <w:pStyle w:val="ListParagraph"/>
              <w:spacing w:line="240" w:lineRule="auto"/>
              <w:ind w:left="0"/>
              <w:jc w:val="both"/>
              <w:rPr>
                <w:rFonts w:ascii="Times New Roman" w:hAnsi="Times New Roman"/>
                <w:sz w:val="24"/>
                <w:szCs w:val="24"/>
              </w:rPr>
            </w:pPr>
            <w:r w:rsidRPr="009A55BC">
              <w:rPr>
                <w:rFonts w:ascii="Times New Roman" w:eastAsia="Times New Roman" w:hAnsi="Times New Roman"/>
                <w:color w:val="000000"/>
                <w:sz w:val="24"/>
                <w:szCs w:val="24"/>
                <w:vertAlign w:val="superscript"/>
                <w:lang w:eastAsia="lv-LV"/>
              </w:rPr>
              <w:t>2</w:t>
            </w:r>
            <w:r w:rsidRPr="009A55BC">
              <w:rPr>
                <w:rFonts w:ascii="Times New Roman" w:eastAsia="Times New Roman" w:hAnsi="Times New Roman"/>
                <w:color w:val="000000"/>
                <w:sz w:val="24"/>
                <w:szCs w:val="24"/>
                <w:lang w:eastAsia="lv-LV"/>
              </w:rPr>
              <w:t xml:space="preserve"> </w:t>
            </w:r>
            <w:r w:rsidR="00607814" w:rsidRPr="009A55BC">
              <w:rPr>
                <w:rFonts w:ascii="Times New Roman" w:eastAsia="Times New Roman" w:hAnsi="Times New Roman"/>
                <w:color w:val="000000"/>
                <w:sz w:val="24"/>
                <w:szCs w:val="24"/>
                <w:lang w:eastAsia="lv-LV"/>
              </w:rPr>
              <w:t xml:space="preserve">Rezultātā tiek iegūts </w:t>
            </w:r>
            <w:r w:rsidR="00607814" w:rsidRPr="009A55BC">
              <w:rPr>
                <w:rFonts w:ascii="Times New Roman" w:hAnsi="Times New Roman"/>
                <w:sz w:val="24"/>
                <w:szCs w:val="24"/>
              </w:rPr>
              <w:t xml:space="preserve">manipulāciju procentuālais īpatsvars, kurš pēc </w:t>
            </w:r>
            <w:r w:rsidR="00A451DC" w:rsidRPr="009A55BC">
              <w:rPr>
                <w:rFonts w:ascii="Times New Roman" w:hAnsi="Times New Roman"/>
                <w:sz w:val="24"/>
                <w:szCs w:val="24"/>
              </w:rPr>
              <w:t>5</w:t>
            </w:r>
            <w:r w:rsidR="00607814" w:rsidRPr="009A55BC">
              <w:rPr>
                <w:rFonts w:ascii="Times New Roman" w:hAnsi="Times New Roman"/>
                <w:sz w:val="24"/>
                <w:szCs w:val="24"/>
              </w:rPr>
              <w:t>.</w:t>
            </w:r>
            <w:r w:rsidR="00157DD5" w:rsidRPr="009A55BC">
              <w:rPr>
                <w:rFonts w:ascii="Times New Roman" w:hAnsi="Times New Roman"/>
                <w:sz w:val="24"/>
                <w:szCs w:val="24"/>
              </w:rPr>
              <w:t>1</w:t>
            </w:r>
            <w:r w:rsidR="00DA47D0" w:rsidRPr="009A55BC">
              <w:rPr>
                <w:rFonts w:ascii="Times New Roman" w:hAnsi="Times New Roman"/>
                <w:sz w:val="24"/>
                <w:szCs w:val="24"/>
              </w:rPr>
              <w:t xml:space="preserve">. punkta </w:t>
            </w:r>
            <w:r w:rsidR="00607814" w:rsidRPr="009A55BC">
              <w:rPr>
                <w:rFonts w:ascii="Times New Roman" w:hAnsi="Times New Roman"/>
                <w:sz w:val="24"/>
                <w:szCs w:val="24"/>
              </w:rPr>
              <w:t>mērķa rādītā</w:t>
            </w:r>
            <w:r w:rsidR="00DA47D0" w:rsidRPr="009A55BC">
              <w:rPr>
                <w:rFonts w:ascii="Times New Roman" w:hAnsi="Times New Roman"/>
                <w:sz w:val="24"/>
                <w:szCs w:val="24"/>
              </w:rPr>
              <w:t>ja ir</w:t>
            </w:r>
            <w:r w:rsidR="00607814" w:rsidRPr="009A55BC">
              <w:rPr>
                <w:rFonts w:ascii="Times New Roman" w:hAnsi="Times New Roman"/>
                <w:sz w:val="24"/>
                <w:szCs w:val="24"/>
              </w:rPr>
              <w:t xml:space="preserve"> pieņemam</w:t>
            </w:r>
            <w:r w:rsidR="00DA47D0" w:rsidRPr="009A55BC">
              <w:rPr>
                <w:rFonts w:ascii="Times New Roman" w:hAnsi="Times New Roman"/>
                <w:sz w:val="24"/>
                <w:szCs w:val="24"/>
              </w:rPr>
              <w:t>s</w:t>
            </w:r>
            <w:r w:rsidR="00607814" w:rsidRPr="009A55BC">
              <w:rPr>
                <w:rFonts w:ascii="Times New Roman" w:hAnsi="Times New Roman"/>
                <w:sz w:val="24"/>
                <w:szCs w:val="24"/>
              </w:rPr>
              <w:t>, uzraugām</w:t>
            </w:r>
            <w:r w:rsidR="00DA47D0" w:rsidRPr="009A55BC">
              <w:rPr>
                <w:rFonts w:ascii="Times New Roman" w:hAnsi="Times New Roman"/>
                <w:sz w:val="24"/>
                <w:szCs w:val="24"/>
              </w:rPr>
              <w:t>s</w:t>
            </w:r>
            <w:r w:rsidR="00607814" w:rsidRPr="009A55BC">
              <w:rPr>
                <w:rFonts w:ascii="Times New Roman" w:hAnsi="Times New Roman"/>
                <w:sz w:val="24"/>
                <w:szCs w:val="24"/>
              </w:rPr>
              <w:t xml:space="preserve"> vai nepieņemam</w:t>
            </w:r>
            <w:r w:rsidR="00DA47D0" w:rsidRPr="009A55BC">
              <w:rPr>
                <w:rFonts w:ascii="Times New Roman" w:hAnsi="Times New Roman"/>
                <w:sz w:val="24"/>
                <w:szCs w:val="24"/>
              </w:rPr>
              <w:t>s</w:t>
            </w:r>
            <w:r w:rsidR="00AB76E4">
              <w:rPr>
                <w:rFonts w:ascii="Times New Roman" w:hAnsi="Times New Roman"/>
                <w:sz w:val="24"/>
                <w:szCs w:val="24"/>
              </w:rPr>
              <w:t>.</w:t>
            </w:r>
          </w:p>
        </w:tc>
      </w:tr>
      <w:tr w:rsidR="00A56812" w:rsidRPr="009A55BC" w14:paraId="694DAC2F" w14:textId="77777777" w:rsidTr="009A55BC">
        <w:trPr>
          <w:cantSplit/>
        </w:trPr>
        <w:tc>
          <w:tcPr>
            <w:tcW w:w="1287" w:type="dxa"/>
          </w:tcPr>
          <w:p w14:paraId="205D8772" w14:textId="61856D47" w:rsidR="00A56812" w:rsidRPr="009A55BC" w:rsidRDefault="00CF2F91"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3.</w:t>
            </w:r>
            <w:r w:rsidR="00A56812" w:rsidRPr="009A55BC">
              <w:rPr>
                <w:rFonts w:ascii="Times New Roman" w:hAnsi="Times New Roman"/>
                <w:sz w:val="24"/>
                <w:szCs w:val="24"/>
              </w:rPr>
              <w:t>2.</w:t>
            </w:r>
          </w:p>
        </w:tc>
        <w:tc>
          <w:tcPr>
            <w:tcW w:w="2824" w:type="dxa"/>
          </w:tcPr>
          <w:p w14:paraId="78B74350" w14:textId="7AFEDC4A" w:rsidR="00A56812" w:rsidRPr="009A55BC" w:rsidRDefault="00A56812"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 xml:space="preserve">Ārstniecības iestādē veikto stacionāro plānveida un neatliekamo onkoloģisko operāciju, kuras veic ārstniecības personas, kuras izpilda </w:t>
            </w:r>
            <w:r w:rsidR="005D7B31" w:rsidRPr="009A55BC">
              <w:rPr>
                <w:rFonts w:ascii="Times New Roman" w:hAnsi="Times New Roman"/>
                <w:sz w:val="24"/>
                <w:szCs w:val="24"/>
              </w:rPr>
              <w:t>1.pielikumā</w:t>
            </w:r>
            <w:r w:rsidRPr="009A55BC">
              <w:rPr>
                <w:rFonts w:ascii="Times New Roman" w:hAnsi="Times New Roman"/>
                <w:sz w:val="24"/>
                <w:szCs w:val="24"/>
              </w:rPr>
              <w:t xml:space="preserve"> noteiktos apjomus, skaita procentuālais īpatsvars no visām ārstniecības iestādē veiktajām stacionārajām plānveida un neatliekamām onkoloģiskām operācijām dalījumā pa</w:t>
            </w:r>
            <w:r w:rsidR="005A34F0">
              <w:rPr>
                <w:rFonts w:ascii="Times New Roman" w:hAnsi="Times New Roman"/>
                <w:sz w:val="24"/>
                <w:szCs w:val="24"/>
              </w:rPr>
              <w:t xml:space="preserve"> pamata izrakstīšanās</w:t>
            </w:r>
            <w:r w:rsidRPr="009A55BC">
              <w:rPr>
                <w:rFonts w:ascii="Times New Roman" w:hAnsi="Times New Roman"/>
                <w:sz w:val="24"/>
                <w:szCs w:val="24"/>
              </w:rPr>
              <w:t xml:space="preserve"> diagnozē</w:t>
            </w:r>
            <w:r w:rsidR="007370CE" w:rsidRPr="009A55BC">
              <w:rPr>
                <w:rFonts w:ascii="Times New Roman" w:hAnsi="Times New Roman"/>
                <w:sz w:val="24"/>
                <w:szCs w:val="24"/>
              </w:rPr>
              <w:t>m</w:t>
            </w:r>
            <w:r w:rsidR="00186DE3" w:rsidRPr="009A55BC">
              <w:rPr>
                <w:rFonts w:ascii="Times New Roman" w:hAnsi="Times New Roman"/>
                <w:sz w:val="24"/>
                <w:szCs w:val="24"/>
              </w:rPr>
              <w:t>, atbilstoši 1.pielikumam</w:t>
            </w:r>
            <w:r w:rsidR="00FC15EE" w:rsidRPr="009A55BC">
              <w:rPr>
                <w:rFonts w:ascii="Times New Roman" w:hAnsi="Times New Roman"/>
                <w:sz w:val="24"/>
                <w:szCs w:val="24"/>
              </w:rPr>
              <w:t xml:space="preserve"> </w:t>
            </w:r>
          </w:p>
          <w:p w14:paraId="3F21EE6A" w14:textId="77777777" w:rsidR="00A56812" w:rsidRPr="009A55BC" w:rsidRDefault="00A56812" w:rsidP="009A55BC">
            <w:pPr>
              <w:pStyle w:val="ListParagraph"/>
              <w:spacing w:line="240" w:lineRule="auto"/>
              <w:ind w:left="0"/>
              <w:rPr>
                <w:rFonts w:ascii="Times New Roman" w:hAnsi="Times New Roman"/>
                <w:sz w:val="24"/>
                <w:szCs w:val="24"/>
              </w:rPr>
            </w:pPr>
          </w:p>
        </w:tc>
        <w:tc>
          <w:tcPr>
            <w:tcW w:w="5812" w:type="dxa"/>
          </w:tcPr>
          <w:p w14:paraId="38B7B62D" w14:textId="3FFBEEA7" w:rsidR="00A56812" w:rsidRPr="009A55BC" w:rsidRDefault="00A56812" w:rsidP="003112BE">
            <w:pPr>
              <w:pStyle w:val="ListParagraph"/>
              <w:pBdr>
                <w:top w:val="single" w:sz="4" w:space="1" w:color="auto"/>
                <w:left w:val="single" w:sz="4" w:space="4" w:color="auto"/>
                <w:bottom w:val="single" w:sz="4" w:space="1" w:color="auto"/>
                <w:right w:val="single" w:sz="4" w:space="4" w:color="auto"/>
              </w:pBdr>
              <w:spacing w:line="240" w:lineRule="auto"/>
              <w:ind w:left="0"/>
              <w:jc w:val="both"/>
              <w:rPr>
                <w:rFonts w:ascii="Times New Roman" w:hAnsi="Times New Roman"/>
                <w:sz w:val="24"/>
                <w:szCs w:val="24"/>
              </w:rPr>
            </w:pPr>
            <w:r w:rsidRPr="009A55BC">
              <w:rPr>
                <w:rFonts w:ascii="Times New Roman" w:hAnsi="Times New Roman"/>
                <w:sz w:val="24"/>
                <w:szCs w:val="24"/>
              </w:rPr>
              <w:t>ārstniecības personu</w:t>
            </w:r>
            <w:r w:rsidRPr="009A55BC">
              <w:rPr>
                <w:rFonts w:ascii="Times New Roman" w:hAnsi="Times New Roman"/>
                <w:sz w:val="24"/>
                <w:szCs w:val="24"/>
                <w:vertAlign w:val="superscript"/>
              </w:rPr>
              <w:t>1</w:t>
            </w:r>
            <w:r w:rsidRPr="009A55BC">
              <w:rPr>
                <w:rFonts w:ascii="Times New Roman" w:hAnsi="Times New Roman"/>
                <w:sz w:val="24"/>
                <w:szCs w:val="24"/>
              </w:rPr>
              <w:t xml:space="preserve">, kuras izpilda </w:t>
            </w:r>
            <w:r w:rsidR="00D40E14" w:rsidRPr="009A55BC">
              <w:rPr>
                <w:rFonts w:ascii="Times New Roman" w:hAnsi="Times New Roman"/>
                <w:sz w:val="24"/>
                <w:szCs w:val="24"/>
              </w:rPr>
              <w:t>1.pielikumā</w:t>
            </w:r>
            <w:r w:rsidRPr="009A55BC">
              <w:rPr>
                <w:rFonts w:ascii="Times New Roman" w:hAnsi="Times New Roman"/>
                <w:sz w:val="24"/>
                <w:szCs w:val="24"/>
              </w:rPr>
              <w:t xml:space="preserve"> noteiktos apjomus (</w:t>
            </w:r>
            <w:r w:rsidR="00957649">
              <w:rPr>
                <w:rFonts w:ascii="Times New Roman" w:hAnsi="Times New Roman"/>
                <w:sz w:val="24"/>
                <w:szCs w:val="24"/>
              </w:rPr>
              <w:t>DIENESTA</w:t>
            </w:r>
            <w:r w:rsidRPr="009A55BC">
              <w:rPr>
                <w:rFonts w:ascii="Times New Roman" w:hAnsi="Times New Roman"/>
                <w:sz w:val="24"/>
                <w:szCs w:val="24"/>
              </w:rPr>
              <w:t xml:space="preserve"> informācijas sistēmas dati), veikt</w:t>
            </w:r>
            <w:r w:rsidR="002F1A38">
              <w:rPr>
                <w:rFonts w:ascii="Times New Roman" w:hAnsi="Times New Roman"/>
                <w:sz w:val="24"/>
                <w:szCs w:val="24"/>
              </w:rPr>
              <w:t>ais</w:t>
            </w:r>
            <w:r w:rsidRPr="009A55BC">
              <w:rPr>
                <w:rFonts w:ascii="Times New Roman" w:hAnsi="Times New Roman"/>
                <w:sz w:val="24"/>
                <w:szCs w:val="24"/>
              </w:rPr>
              <w:t xml:space="preserve"> attiecīgās diagnozes vai diagnožu grupas plānveida un neatliekami stacionārā veikto onkoloģisko operāciju skaits</w:t>
            </w:r>
            <w:r w:rsidRPr="009A55BC">
              <w:rPr>
                <w:rFonts w:ascii="Times New Roman" w:hAnsi="Times New Roman"/>
                <w:sz w:val="24"/>
                <w:szCs w:val="24"/>
                <w:vertAlign w:val="superscript"/>
              </w:rPr>
              <w:t>2</w:t>
            </w:r>
            <w:r w:rsidR="005A34F0">
              <w:rPr>
                <w:rFonts w:ascii="Times New Roman" w:hAnsi="Times New Roman"/>
                <w:sz w:val="24"/>
                <w:szCs w:val="24"/>
                <w:vertAlign w:val="superscript"/>
              </w:rPr>
              <w:t xml:space="preserve"> </w:t>
            </w:r>
            <w:r w:rsidRPr="009A55BC">
              <w:rPr>
                <w:rFonts w:ascii="Times New Roman" w:hAnsi="Times New Roman"/>
                <w:sz w:val="24"/>
                <w:szCs w:val="24"/>
              </w:rPr>
              <w:t>/</w:t>
            </w:r>
            <w:r w:rsidR="00957649">
              <w:rPr>
                <w:rFonts w:ascii="Times New Roman" w:hAnsi="Times New Roman"/>
                <w:sz w:val="24"/>
                <w:szCs w:val="24"/>
              </w:rPr>
              <w:t xml:space="preserve"> </w:t>
            </w:r>
            <w:r w:rsidRPr="009A55BC">
              <w:rPr>
                <w:rFonts w:ascii="Times New Roman" w:hAnsi="Times New Roman"/>
                <w:sz w:val="24"/>
                <w:szCs w:val="24"/>
              </w:rPr>
              <w:t>kopējais attiecīgās diagnozes veikt</w:t>
            </w:r>
            <w:r w:rsidR="002F1A38">
              <w:rPr>
                <w:rFonts w:ascii="Times New Roman" w:hAnsi="Times New Roman"/>
                <w:sz w:val="24"/>
                <w:szCs w:val="24"/>
              </w:rPr>
              <w:t>ais</w:t>
            </w:r>
            <w:r w:rsidRPr="009A55BC">
              <w:rPr>
                <w:rFonts w:ascii="Times New Roman" w:hAnsi="Times New Roman"/>
                <w:sz w:val="24"/>
                <w:szCs w:val="24"/>
              </w:rPr>
              <w:t xml:space="preserve"> plānveida un neatliekamo stacionāro</w:t>
            </w:r>
            <w:r w:rsidR="00903ACE" w:rsidRPr="009A55BC">
              <w:rPr>
                <w:rFonts w:ascii="Times New Roman" w:hAnsi="Times New Roman"/>
                <w:sz w:val="24"/>
                <w:szCs w:val="24"/>
              </w:rPr>
              <w:t xml:space="preserve"> </w:t>
            </w:r>
            <w:r w:rsidRPr="009A55BC">
              <w:rPr>
                <w:rFonts w:ascii="Times New Roman" w:hAnsi="Times New Roman"/>
                <w:sz w:val="24"/>
                <w:szCs w:val="24"/>
              </w:rPr>
              <w:t>onkoloģisko operāciju skaits</w:t>
            </w:r>
            <w:r w:rsidR="002F1A38">
              <w:rPr>
                <w:rFonts w:ascii="Times New Roman" w:hAnsi="Times New Roman"/>
                <w:sz w:val="24"/>
                <w:szCs w:val="24"/>
              </w:rPr>
              <w:t>,</w:t>
            </w:r>
          </w:p>
          <w:p w14:paraId="7AD49D3B" w14:textId="3D5BEC37" w:rsidR="00A56812" w:rsidRPr="009A55BC" w:rsidRDefault="00A56812" w:rsidP="009A55BC">
            <w:pPr>
              <w:pStyle w:val="ListParagraph"/>
              <w:pBdr>
                <w:top w:val="single" w:sz="4" w:space="1" w:color="auto"/>
                <w:left w:val="single" w:sz="4" w:space="4" w:color="auto"/>
                <w:bottom w:val="single" w:sz="4" w:space="1" w:color="auto"/>
                <w:right w:val="single" w:sz="4" w:space="4" w:color="auto"/>
              </w:pBdr>
              <w:spacing w:line="240" w:lineRule="auto"/>
              <w:ind w:left="0"/>
              <w:jc w:val="center"/>
              <w:rPr>
                <w:rFonts w:ascii="Times New Roman" w:hAnsi="Times New Roman"/>
                <w:sz w:val="24"/>
                <w:szCs w:val="24"/>
              </w:rPr>
            </w:pPr>
            <w:r w:rsidRPr="009A55BC">
              <w:rPr>
                <w:rFonts w:ascii="Times New Roman" w:hAnsi="Times New Roman"/>
                <w:sz w:val="24"/>
                <w:szCs w:val="24"/>
              </w:rPr>
              <w:t>izteikts</w:t>
            </w:r>
            <w:r w:rsidR="00957649">
              <w:rPr>
                <w:rFonts w:ascii="Times New Roman" w:hAnsi="Times New Roman"/>
                <w:sz w:val="24"/>
                <w:szCs w:val="24"/>
              </w:rPr>
              <w:t xml:space="preserve"> </w:t>
            </w:r>
            <w:r w:rsidRPr="009A55BC">
              <w:rPr>
                <w:rFonts w:ascii="Times New Roman" w:hAnsi="Times New Roman"/>
                <w:sz w:val="24"/>
                <w:szCs w:val="24"/>
              </w:rPr>
              <w:t>%</w:t>
            </w:r>
            <w:r w:rsidRPr="009A55BC">
              <w:rPr>
                <w:rFonts w:ascii="Times New Roman" w:hAnsi="Times New Roman"/>
                <w:sz w:val="24"/>
                <w:szCs w:val="24"/>
                <w:vertAlign w:val="superscript"/>
              </w:rPr>
              <w:t>3</w:t>
            </w:r>
          </w:p>
          <w:p w14:paraId="3D914B0C" w14:textId="0D4149DC" w:rsidR="00A56812" w:rsidRPr="009A55BC" w:rsidRDefault="00A56812"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vertAlign w:val="superscript"/>
              </w:rPr>
              <w:t>1</w:t>
            </w:r>
            <w:r w:rsidRPr="009A55BC">
              <w:rPr>
                <w:rFonts w:ascii="Times New Roman" w:hAnsi="Times New Roman"/>
                <w:sz w:val="24"/>
                <w:szCs w:val="24"/>
              </w:rPr>
              <w:t xml:space="preserve"> Kā ārstniecības persona tiek skatīts pirmais un otrais norādītās manipulācijas veicējs,</w:t>
            </w:r>
            <w:r w:rsidR="00957649">
              <w:rPr>
                <w:rFonts w:ascii="Times New Roman" w:hAnsi="Times New Roman"/>
                <w:sz w:val="24"/>
                <w:szCs w:val="24"/>
              </w:rPr>
              <w:t xml:space="preserve"> kas aprēķinos tiek</w:t>
            </w:r>
            <w:r w:rsidR="00957649" w:rsidRPr="009A55BC">
              <w:rPr>
                <w:rFonts w:ascii="Times New Roman" w:hAnsi="Times New Roman"/>
                <w:sz w:val="24"/>
                <w:szCs w:val="24"/>
              </w:rPr>
              <w:t xml:space="preserve"> </w:t>
            </w:r>
            <w:r w:rsidR="00957649">
              <w:rPr>
                <w:rFonts w:ascii="Times New Roman" w:hAnsi="Times New Roman"/>
                <w:sz w:val="24"/>
                <w:szCs w:val="24"/>
              </w:rPr>
              <w:t xml:space="preserve">iegūts no DIENESTA </w:t>
            </w:r>
            <w:r w:rsidRPr="009A55BC">
              <w:rPr>
                <w:rFonts w:ascii="Times New Roman" w:hAnsi="Times New Roman"/>
                <w:sz w:val="24"/>
                <w:szCs w:val="24"/>
              </w:rPr>
              <w:t>veselības aprūpes pakalpojumu apmaksas norēķinu sistēmas “Vadības informācijas sistēma”  pieejamā</w:t>
            </w:r>
            <w:r w:rsidR="00957649">
              <w:rPr>
                <w:rFonts w:ascii="Times New Roman" w:hAnsi="Times New Roman"/>
                <w:sz w:val="24"/>
                <w:szCs w:val="24"/>
              </w:rPr>
              <w:t>s</w:t>
            </w:r>
            <w:r w:rsidRPr="009A55BC">
              <w:rPr>
                <w:rFonts w:ascii="Times New Roman" w:hAnsi="Times New Roman"/>
                <w:sz w:val="24"/>
                <w:szCs w:val="24"/>
              </w:rPr>
              <w:t xml:space="preserve"> informācija</w:t>
            </w:r>
            <w:r w:rsidR="00957649">
              <w:rPr>
                <w:rFonts w:ascii="Times New Roman" w:hAnsi="Times New Roman"/>
                <w:sz w:val="24"/>
                <w:szCs w:val="24"/>
              </w:rPr>
              <w:t>s.</w:t>
            </w:r>
            <w:r w:rsidRPr="009A55BC">
              <w:rPr>
                <w:rFonts w:ascii="Times New Roman" w:hAnsi="Times New Roman"/>
                <w:sz w:val="24"/>
                <w:szCs w:val="24"/>
              </w:rPr>
              <w:t xml:space="preserve"> Ja vismaz vienam no abiem pirmajiem manipulācijas veicējiem ir atbilstoš</w:t>
            </w:r>
            <w:r w:rsidR="00957649">
              <w:rPr>
                <w:rFonts w:ascii="Times New Roman" w:hAnsi="Times New Roman"/>
                <w:sz w:val="24"/>
                <w:szCs w:val="24"/>
              </w:rPr>
              <w:t>i</w:t>
            </w:r>
            <w:r w:rsidR="005D7B31" w:rsidRPr="009A55BC">
              <w:rPr>
                <w:rFonts w:ascii="Times New Roman" w:hAnsi="Times New Roman"/>
                <w:sz w:val="24"/>
                <w:szCs w:val="24"/>
              </w:rPr>
              <w:t xml:space="preserve"> 1.pielikum</w:t>
            </w:r>
            <w:r w:rsidR="00957649">
              <w:rPr>
                <w:rFonts w:ascii="Times New Roman" w:hAnsi="Times New Roman"/>
                <w:sz w:val="24"/>
                <w:szCs w:val="24"/>
              </w:rPr>
              <w:t>am</w:t>
            </w:r>
            <w:r w:rsidRPr="009A55BC">
              <w:rPr>
                <w:rFonts w:ascii="Times New Roman" w:hAnsi="Times New Roman"/>
                <w:sz w:val="24"/>
                <w:szCs w:val="24"/>
              </w:rPr>
              <w:t xml:space="preserve"> minēta</w:t>
            </w:r>
            <w:r w:rsidR="00957649">
              <w:rPr>
                <w:rFonts w:ascii="Times New Roman" w:hAnsi="Times New Roman"/>
                <w:sz w:val="24"/>
                <w:szCs w:val="24"/>
              </w:rPr>
              <w:t>is</w:t>
            </w:r>
            <w:r w:rsidRPr="009A55BC">
              <w:rPr>
                <w:rFonts w:ascii="Times New Roman" w:hAnsi="Times New Roman"/>
                <w:sz w:val="24"/>
                <w:szCs w:val="24"/>
              </w:rPr>
              <w:t xml:space="preserve"> apjom</w:t>
            </w:r>
            <w:r w:rsidR="00957649">
              <w:rPr>
                <w:rFonts w:ascii="Times New Roman" w:hAnsi="Times New Roman"/>
                <w:sz w:val="24"/>
                <w:szCs w:val="24"/>
              </w:rPr>
              <w:t>s</w:t>
            </w:r>
            <w:r w:rsidRPr="009A55BC">
              <w:rPr>
                <w:rFonts w:ascii="Times New Roman" w:hAnsi="Times New Roman"/>
                <w:sz w:val="24"/>
                <w:szCs w:val="24"/>
              </w:rPr>
              <w:t xml:space="preserve"> diagnozē, hospitalizācija tiek skaitīta pie tām, kuras veicis ārsts ar atbilstošu pieredzi.</w:t>
            </w:r>
          </w:p>
          <w:p w14:paraId="09F8D6E4" w14:textId="4A2EB020" w:rsidR="00A56812" w:rsidRPr="009A55BC" w:rsidRDefault="00A56812"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vertAlign w:val="superscript"/>
              </w:rPr>
              <w:t>2</w:t>
            </w:r>
            <w:r w:rsidRPr="009A55BC">
              <w:rPr>
                <w:rFonts w:ascii="Times New Roman" w:hAnsi="Times New Roman"/>
                <w:sz w:val="24"/>
                <w:szCs w:val="24"/>
              </w:rPr>
              <w:t xml:space="preserve"> Atbilstoši pielikumā minētajam NCSP manipulāciju sarakstam sadalījumā pa konkrētām diagnozēm. </w:t>
            </w:r>
          </w:p>
          <w:p w14:paraId="13C435B9" w14:textId="2155B3DC" w:rsidR="00A56812" w:rsidRPr="009A55BC" w:rsidRDefault="00A56812"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vertAlign w:val="superscript"/>
              </w:rPr>
              <w:t>3</w:t>
            </w:r>
            <w:r w:rsidRPr="009A55BC">
              <w:rPr>
                <w:rFonts w:ascii="Times New Roman" w:hAnsi="Times New Roman"/>
                <w:sz w:val="24"/>
                <w:szCs w:val="24"/>
              </w:rPr>
              <w:t xml:space="preserve"> Rezultātā tiek iegūts manipulāciju procentuālais īpatsvars, kurš pēc </w:t>
            </w:r>
            <w:r w:rsidR="00A451DC" w:rsidRPr="009A55BC">
              <w:rPr>
                <w:rFonts w:ascii="Times New Roman" w:hAnsi="Times New Roman"/>
                <w:sz w:val="24"/>
                <w:szCs w:val="24"/>
              </w:rPr>
              <w:t>5</w:t>
            </w:r>
            <w:r w:rsidRPr="009A55BC">
              <w:rPr>
                <w:rFonts w:ascii="Times New Roman" w:hAnsi="Times New Roman"/>
                <w:sz w:val="24"/>
                <w:szCs w:val="24"/>
              </w:rPr>
              <w:t>.</w:t>
            </w:r>
            <w:r w:rsidR="00157DD5" w:rsidRPr="009A55BC">
              <w:rPr>
                <w:rFonts w:ascii="Times New Roman" w:hAnsi="Times New Roman"/>
                <w:sz w:val="24"/>
                <w:szCs w:val="24"/>
              </w:rPr>
              <w:t>2</w:t>
            </w:r>
            <w:r w:rsidRPr="009A55BC">
              <w:rPr>
                <w:rFonts w:ascii="Times New Roman" w:hAnsi="Times New Roman"/>
                <w:sz w:val="24"/>
                <w:szCs w:val="24"/>
              </w:rPr>
              <w:t>. punkta mērķa rādītāja ir pieņemams, uzraugāms vai nepieņemams.</w:t>
            </w:r>
          </w:p>
        </w:tc>
      </w:tr>
      <w:tr w:rsidR="00A56812" w:rsidRPr="009A55BC" w14:paraId="2497AA9A" w14:textId="77777777" w:rsidTr="009A55BC">
        <w:trPr>
          <w:cantSplit/>
        </w:trPr>
        <w:tc>
          <w:tcPr>
            <w:tcW w:w="1287" w:type="dxa"/>
          </w:tcPr>
          <w:p w14:paraId="6BCDB5B0" w14:textId="498E3FF8" w:rsidR="00A56812" w:rsidRPr="009A55BC" w:rsidRDefault="00A56812"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lastRenderedPageBreak/>
              <w:t>3.</w:t>
            </w:r>
            <w:r w:rsidR="005D7B31" w:rsidRPr="009A55BC">
              <w:rPr>
                <w:rFonts w:ascii="Times New Roman" w:hAnsi="Times New Roman"/>
                <w:sz w:val="24"/>
                <w:szCs w:val="24"/>
              </w:rPr>
              <w:t>3.</w:t>
            </w:r>
          </w:p>
        </w:tc>
        <w:tc>
          <w:tcPr>
            <w:tcW w:w="2824" w:type="dxa"/>
          </w:tcPr>
          <w:p w14:paraId="4DBFFFDF" w14:textId="5589FBB9" w:rsidR="00A56812" w:rsidRPr="009A55BC" w:rsidRDefault="00A56812"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Ķirurģiski ārstēto</w:t>
            </w:r>
            <w:r w:rsidR="00AB76E4" w:rsidRPr="009A55BC">
              <w:rPr>
                <w:rFonts w:ascii="Times New Roman" w:hAnsi="Times New Roman"/>
                <w:sz w:val="24"/>
                <w:szCs w:val="24"/>
                <w:vertAlign w:val="superscript"/>
              </w:rPr>
              <w:t>3</w:t>
            </w:r>
            <w:r w:rsidRPr="009A55BC">
              <w:rPr>
                <w:rFonts w:ascii="Times New Roman" w:hAnsi="Times New Roman"/>
                <w:sz w:val="24"/>
                <w:szCs w:val="24"/>
              </w:rPr>
              <w:t xml:space="preserve"> onkoloģisko plānveida pacientu</w:t>
            </w:r>
            <w:r w:rsidR="00882581" w:rsidRPr="009A55BC">
              <w:rPr>
                <w:rFonts w:ascii="Times New Roman" w:hAnsi="Times New Roman"/>
                <w:sz w:val="24"/>
                <w:szCs w:val="24"/>
                <w:vertAlign w:val="superscript"/>
              </w:rPr>
              <w:t>1</w:t>
            </w:r>
            <w:r w:rsidRPr="009A55BC">
              <w:rPr>
                <w:rFonts w:ascii="Times New Roman" w:hAnsi="Times New Roman"/>
                <w:sz w:val="24"/>
                <w:szCs w:val="24"/>
              </w:rPr>
              <w:t xml:space="preserve"> procentuālais īpatsvars, kuru stacionārā uzskaites dokumentā norādīta komplikāciju manipulācija (pēc </w:t>
            </w:r>
            <w:proofErr w:type="spellStart"/>
            <w:r w:rsidRPr="009A55BC">
              <w:rPr>
                <w:rFonts w:ascii="Times New Roman" w:hAnsi="Times New Roman"/>
                <w:sz w:val="24"/>
                <w:szCs w:val="24"/>
              </w:rPr>
              <w:t>Clavien</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Dindo</w:t>
            </w:r>
            <w:proofErr w:type="spellEnd"/>
            <w:r w:rsidRPr="009A55BC">
              <w:rPr>
                <w:rFonts w:ascii="Times New Roman" w:hAnsi="Times New Roman"/>
                <w:sz w:val="24"/>
                <w:szCs w:val="24"/>
              </w:rPr>
              <w:t xml:space="preserve"> klasifikācijas sistēmas</w:t>
            </w:r>
            <w:r w:rsidR="00AB76E4">
              <w:rPr>
                <w:rFonts w:ascii="Times New Roman" w:hAnsi="Times New Roman"/>
                <w:sz w:val="24"/>
                <w:szCs w:val="24"/>
                <w:vertAlign w:val="superscript"/>
              </w:rPr>
              <w:t>4</w:t>
            </w:r>
            <w:r w:rsidRPr="009A55BC">
              <w:rPr>
                <w:rFonts w:ascii="Times New Roman" w:hAnsi="Times New Roman"/>
                <w:sz w:val="24"/>
                <w:szCs w:val="24"/>
              </w:rPr>
              <w:t>)</w:t>
            </w:r>
          </w:p>
        </w:tc>
        <w:tc>
          <w:tcPr>
            <w:tcW w:w="5812" w:type="dxa"/>
          </w:tcPr>
          <w:p w14:paraId="2B69512B" w14:textId="07DCFC96" w:rsidR="00A56812" w:rsidRPr="009A55BC" w:rsidRDefault="005A34F0" w:rsidP="003112BE">
            <w:pPr>
              <w:pStyle w:val="ListParagraph"/>
              <w:pBdr>
                <w:top w:val="single" w:sz="4" w:space="1" w:color="auto"/>
                <w:left w:val="single" w:sz="4" w:space="4" w:color="auto"/>
                <w:bottom w:val="single" w:sz="4" w:space="1" w:color="auto"/>
                <w:right w:val="single" w:sz="4" w:space="4" w:color="auto"/>
              </w:pBdr>
              <w:spacing w:line="240" w:lineRule="auto"/>
              <w:ind w:left="0"/>
              <w:jc w:val="center"/>
              <w:rPr>
                <w:rFonts w:ascii="Times New Roman" w:hAnsi="Times New Roman"/>
                <w:sz w:val="24"/>
                <w:szCs w:val="24"/>
              </w:rPr>
            </w:pPr>
            <w:r>
              <w:rPr>
                <w:rFonts w:ascii="Times New Roman" w:hAnsi="Times New Roman"/>
                <w:sz w:val="24"/>
                <w:szCs w:val="24"/>
              </w:rPr>
              <w:t>p</w:t>
            </w:r>
            <w:r w:rsidR="00E31793" w:rsidRPr="009A55BC">
              <w:rPr>
                <w:rFonts w:ascii="Times New Roman" w:hAnsi="Times New Roman"/>
                <w:sz w:val="24"/>
                <w:szCs w:val="24"/>
              </w:rPr>
              <w:t>lānveidā hospitalizēto ķirurģiski ārstēto</w:t>
            </w:r>
            <w:r w:rsidR="002F1A38" w:rsidRPr="009A55BC">
              <w:rPr>
                <w:rFonts w:ascii="Times New Roman" w:hAnsi="Times New Roman"/>
                <w:sz w:val="24"/>
                <w:szCs w:val="24"/>
                <w:vertAlign w:val="superscript"/>
              </w:rPr>
              <w:t>3</w:t>
            </w:r>
            <w:r w:rsidR="00E31793" w:rsidRPr="009A55BC">
              <w:rPr>
                <w:rFonts w:ascii="Times New Roman" w:hAnsi="Times New Roman"/>
                <w:sz w:val="24"/>
                <w:szCs w:val="24"/>
              </w:rPr>
              <w:t xml:space="preserve"> pacientu</w:t>
            </w:r>
            <w:r w:rsidR="00A85008" w:rsidRPr="009A55BC">
              <w:rPr>
                <w:rFonts w:ascii="Times New Roman" w:hAnsi="Times New Roman"/>
                <w:sz w:val="24"/>
                <w:szCs w:val="24"/>
                <w:vertAlign w:val="superscript"/>
              </w:rPr>
              <w:t>1</w:t>
            </w:r>
            <w:r w:rsidR="00E31793" w:rsidRPr="009A55BC">
              <w:rPr>
                <w:rFonts w:ascii="Times New Roman" w:hAnsi="Times New Roman"/>
                <w:sz w:val="24"/>
                <w:szCs w:val="24"/>
              </w:rPr>
              <w:t xml:space="preserve"> UD skaits, kur norādīta komplikāciju manipulācija / kopējais </w:t>
            </w:r>
            <w:r w:rsidR="00BC405B">
              <w:rPr>
                <w:rFonts w:ascii="Times New Roman" w:hAnsi="Times New Roman"/>
                <w:sz w:val="24"/>
                <w:szCs w:val="24"/>
              </w:rPr>
              <w:t>p</w:t>
            </w:r>
            <w:r w:rsidR="00E31793" w:rsidRPr="009A55BC">
              <w:rPr>
                <w:rFonts w:ascii="Times New Roman" w:hAnsi="Times New Roman"/>
                <w:sz w:val="24"/>
                <w:szCs w:val="24"/>
              </w:rPr>
              <w:t>lānveidā hospitalizēto ķirurģiski ārstēto</w:t>
            </w:r>
            <w:r w:rsidR="002F1A38" w:rsidRPr="009A55BC">
              <w:rPr>
                <w:rFonts w:ascii="Times New Roman" w:hAnsi="Times New Roman"/>
                <w:sz w:val="24"/>
                <w:szCs w:val="24"/>
                <w:vertAlign w:val="superscript"/>
              </w:rPr>
              <w:t>3</w:t>
            </w:r>
            <w:r w:rsidR="00E31793" w:rsidRPr="009A55BC">
              <w:rPr>
                <w:rFonts w:ascii="Times New Roman" w:hAnsi="Times New Roman"/>
                <w:sz w:val="24"/>
                <w:szCs w:val="24"/>
              </w:rPr>
              <w:t xml:space="preserve"> pacientu</w:t>
            </w:r>
            <w:r w:rsidR="00882581" w:rsidRPr="009A55BC">
              <w:rPr>
                <w:rFonts w:ascii="Times New Roman" w:hAnsi="Times New Roman"/>
                <w:sz w:val="24"/>
                <w:szCs w:val="24"/>
                <w:vertAlign w:val="superscript"/>
              </w:rPr>
              <w:t>1</w:t>
            </w:r>
            <w:r w:rsidR="00E31793" w:rsidRPr="009A55BC">
              <w:rPr>
                <w:rFonts w:ascii="Times New Roman" w:hAnsi="Times New Roman"/>
                <w:sz w:val="24"/>
                <w:szCs w:val="24"/>
              </w:rPr>
              <w:t xml:space="preserve"> UD skaits</w:t>
            </w:r>
            <w:r w:rsidR="00882581">
              <w:rPr>
                <w:rFonts w:ascii="Times New Roman" w:hAnsi="Times New Roman"/>
                <w:sz w:val="24"/>
                <w:szCs w:val="24"/>
              </w:rPr>
              <w:t>, izteikts %</w:t>
            </w:r>
            <w:r w:rsidR="00A56812" w:rsidRPr="009A55BC">
              <w:rPr>
                <w:rFonts w:ascii="Times New Roman" w:hAnsi="Times New Roman"/>
                <w:sz w:val="24"/>
                <w:szCs w:val="24"/>
                <w:vertAlign w:val="superscript"/>
              </w:rPr>
              <w:t>2</w:t>
            </w:r>
          </w:p>
          <w:p w14:paraId="104DE03F" w14:textId="0554FADB" w:rsidR="00A56812" w:rsidRPr="009A55BC" w:rsidRDefault="00A56812"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vertAlign w:val="superscript"/>
              </w:rPr>
              <w:t>1</w:t>
            </w:r>
            <w:r w:rsidRPr="009A55BC">
              <w:rPr>
                <w:rFonts w:ascii="Times New Roman" w:hAnsi="Times New Roman"/>
                <w:sz w:val="24"/>
                <w:szCs w:val="24"/>
              </w:rPr>
              <w:t xml:space="preserve"> Pamata izrakstīšanās diagnoze pēc</w:t>
            </w:r>
            <w:r w:rsidR="00882581">
              <w:rPr>
                <w:rFonts w:ascii="Times New Roman" w:hAnsi="Times New Roman"/>
                <w:sz w:val="24"/>
                <w:szCs w:val="24"/>
              </w:rPr>
              <w:t xml:space="preserve"> </w:t>
            </w:r>
            <w:r w:rsidR="002F2F14" w:rsidRPr="009A55BC">
              <w:rPr>
                <w:rFonts w:ascii="Times New Roman" w:hAnsi="Times New Roman"/>
                <w:sz w:val="24"/>
                <w:szCs w:val="24"/>
              </w:rPr>
              <w:t>SSK-10: C00–C97, D00–D09, D37–D48 un D61</w:t>
            </w:r>
            <w:r w:rsidR="00AB76E4">
              <w:rPr>
                <w:rFonts w:ascii="Times New Roman" w:hAnsi="Times New Roman"/>
                <w:sz w:val="24"/>
                <w:szCs w:val="24"/>
              </w:rPr>
              <w:t>.</w:t>
            </w:r>
          </w:p>
          <w:p w14:paraId="0FC212A9" w14:textId="2828651F" w:rsidR="00A56812" w:rsidRPr="009A55BC" w:rsidRDefault="00A56812"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vertAlign w:val="superscript"/>
              </w:rPr>
              <w:t>2</w:t>
            </w:r>
            <w:r w:rsidRPr="009A55BC">
              <w:rPr>
                <w:rFonts w:ascii="Times New Roman" w:hAnsi="Times New Roman"/>
                <w:sz w:val="24"/>
                <w:szCs w:val="24"/>
              </w:rPr>
              <w:t xml:space="preserve"> </w:t>
            </w:r>
            <w:r w:rsidRPr="009A55BC">
              <w:rPr>
                <w:rFonts w:ascii="Times New Roman" w:eastAsia="Times New Roman" w:hAnsi="Times New Roman"/>
                <w:sz w:val="24"/>
                <w:szCs w:val="24"/>
                <w:lang w:eastAsia="lv-LV"/>
              </w:rPr>
              <w:t xml:space="preserve">Rezultātā tiek iegūts </w:t>
            </w:r>
            <w:r w:rsidRPr="009A55BC">
              <w:rPr>
                <w:rFonts w:ascii="Times New Roman" w:hAnsi="Times New Roman"/>
                <w:sz w:val="24"/>
                <w:szCs w:val="24"/>
              </w:rPr>
              <w:t xml:space="preserve">pacientu procentuālais īpatsvars, kurš pēc </w:t>
            </w:r>
            <w:r w:rsidR="00DD27CE" w:rsidRPr="009A55BC">
              <w:rPr>
                <w:rFonts w:ascii="Times New Roman" w:hAnsi="Times New Roman"/>
                <w:sz w:val="24"/>
                <w:szCs w:val="24"/>
              </w:rPr>
              <w:t>5</w:t>
            </w:r>
            <w:r w:rsidRPr="009A55BC">
              <w:rPr>
                <w:rFonts w:ascii="Times New Roman" w:hAnsi="Times New Roman"/>
                <w:sz w:val="24"/>
                <w:szCs w:val="24"/>
              </w:rPr>
              <w:t>.</w:t>
            </w:r>
            <w:r w:rsidR="00157DD5" w:rsidRPr="009A55BC">
              <w:rPr>
                <w:rFonts w:ascii="Times New Roman" w:hAnsi="Times New Roman"/>
                <w:sz w:val="24"/>
                <w:szCs w:val="24"/>
              </w:rPr>
              <w:t>3</w:t>
            </w:r>
            <w:r w:rsidRPr="009A55BC">
              <w:rPr>
                <w:rFonts w:ascii="Times New Roman" w:hAnsi="Times New Roman"/>
                <w:sz w:val="24"/>
                <w:szCs w:val="24"/>
              </w:rPr>
              <w:t>. punkta mērķa rādītāja vērtējams kā pieņemams, uzraugāms vai nepieņemams</w:t>
            </w:r>
            <w:r w:rsidR="00AB76E4">
              <w:rPr>
                <w:rFonts w:ascii="Times New Roman" w:hAnsi="Times New Roman"/>
                <w:sz w:val="24"/>
                <w:szCs w:val="24"/>
              </w:rPr>
              <w:t>.</w:t>
            </w:r>
          </w:p>
          <w:p w14:paraId="00A109F1" w14:textId="38207DBF" w:rsidR="00AB76E4" w:rsidRDefault="00A56812"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vertAlign w:val="superscript"/>
              </w:rPr>
              <w:t>3</w:t>
            </w:r>
            <w:r w:rsidRPr="009A55BC">
              <w:rPr>
                <w:rFonts w:ascii="Times New Roman" w:hAnsi="Times New Roman"/>
                <w:sz w:val="24"/>
                <w:szCs w:val="24"/>
              </w:rPr>
              <w:t xml:space="preserve"> </w:t>
            </w:r>
            <w:r w:rsidR="00AB76E4">
              <w:rPr>
                <w:rFonts w:ascii="Times New Roman" w:hAnsi="Times New Roman"/>
                <w:sz w:val="24"/>
                <w:szCs w:val="24"/>
              </w:rPr>
              <w:t>Pacienti, kam veiktas 1. pielikumā norādītās NCSP manipulācijas.</w:t>
            </w:r>
          </w:p>
          <w:p w14:paraId="4203043C" w14:textId="376BDCE6" w:rsidR="00A56812" w:rsidRPr="009A55BC" w:rsidRDefault="00AB76E4" w:rsidP="009A55BC">
            <w:pPr>
              <w:pStyle w:val="ListParagraph"/>
              <w:spacing w:line="240" w:lineRule="auto"/>
              <w:ind w:left="0"/>
              <w:jc w:val="both"/>
              <w:rPr>
                <w:rFonts w:ascii="Times New Roman" w:hAnsi="Times New Roman"/>
                <w:sz w:val="24"/>
                <w:szCs w:val="24"/>
              </w:rPr>
            </w:pPr>
            <w:r>
              <w:rPr>
                <w:rFonts w:ascii="Times New Roman" w:hAnsi="Times New Roman"/>
                <w:sz w:val="24"/>
                <w:szCs w:val="24"/>
                <w:vertAlign w:val="superscript"/>
              </w:rPr>
              <w:t xml:space="preserve">4 </w:t>
            </w:r>
            <w:r w:rsidR="00A56812" w:rsidRPr="009A55BC">
              <w:rPr>
                <w:rFonts w:ascii="Times New Roman" w:hAnsi="Times New Roman"/>
                <w:sz w:val="24"/>
                <w:szCs w:val="24"/>
              </w:rPr>
              <w:t xml:space="preserve">Pēc </w:t>
            </w:r>
            <w:proofErr w:type="spellStart"/>
            <w:r w:rsidR="00A56812" w:rsidRPr="009A55BC">
              <w:rPr>
                <w:rFonts w:ascii="Times New Roman" w:hAnsi="Times New Roman"/>
                <w:sz w:val="24"/>
                <w:szCs w:val="24"/>
              </w:rPr>
              <w:t>Clavien-Dindo</w:t>
            </w:r>
            <w:proofErr w:type="spellEnd"/>
            <w:r w:rsidR="00A56812" w:rsidRPr="009A55BC">
              <w:rPr>
                <w:rFonts w:ascii="Times New Roman" w:hAnsi="Times New Roman"/>
                <w:sz w:val="24"/>
                <w:szCs w:val="24"/>
              </w:rPr>
              <w:t xml:space="preserve"> klasifikatora</w:t>
            </w:r>
            <w:r w:rsidR="00E4168C">
              <w:rPr>
                <w:rFonts w:ascii="Times New Roman" w:hAnsi="Times New Roman"/>
                <w:sz w:val="24"/>
                <w:szCs w:val="24"/>
              </w:rPr>
              <w:t>*</w:t>
            </w:r>
            <w:r w:rsidR="00A56812" w:rsidRPr="009A55BC">
              <w:rPr>
                <w:rFonts w:ascii="Times New Roman" w:hAnsi="Times New Roman"/>
                <w:sz w:val="24"/>
                <w:szCs w:val="24"/>
              </w:rPr>
              <w:t xml:space="preserve"> ķirurģisko komplikāciju smaguma klasificēšanai</w:t>
            </w:r>
            <w:r w:rsidR="00882581">
              <w:rPr>
                <w:rFonts w:ascii="Times New Roman" w:hAnsi="Times New Roman"/>
                <w:sz w:val="24"/>
                <w:szCs w:val="24"/>
              </w:rPr>
              <w:t xml:space="preserve"> </w:t>
            </w:r>
            <w:r w:rsidR="00A56812" w:rsidRPr="009A55BC">
              <w:rPr>
                <w:rFonts w:ascii="Times New Roman" w:hAnsi="Times New Roman"/>
                <w:sz w:val="24"/>
                <w:szCs w:val="24"/>
              </w:rPr>
              <w:t>pielietojamās</w:t>
            </w:r>
            <w:r w:rsidR="00882581">
              <w:rPr>
                <w:rFonts w:ascii="Times New Roman" w:hAnsi="Times New Roman"/>
                <w:sz w:val="24"/>
                <w:szCs w:val="24"/>
              </w:rPr>
              <w:t xml:space="preserve"> </w:t>
            </w:r>
            <w:r w:rsidR="00A56812" w:rsidRPr="009A55BC">
              <w:rPr>
                <w:rFonts w:ascii="Times New Roman" w:hAnsi="Times New Roman"/>
                <w:sz w:val="24"/>
                <w:szCs w:val="24"/>
              </w:rPr>
              <w:t>manipulācijas:</w:t>
            </w:r>
          </w:p>
          <w:p w14:paraId="4723DD9E" w14:textId="77777777" w:rsidR="00A56812" w:rsidRPr="009A55BC" w:rsidRDefault="00A56812" w:rsidP="009A55BC">
            <w:pPr>
              <w:spacing w:line="240" w:lineRule="auto"/>
              <w:jc w:val="both"/>
              <w:rPr>
                <w:rFonts w:ascii="Times New Roman" w:hAnsi="Times New Roman"/>
                <w:sz w:val="24"/>
                <w:szCs w:val="24"/>
              </w:rPr>
            </w:pPr>
            <w:r w:rsidRPr="009A55BC">
              <w:rPr>
                <w:rFonts w:ascii="Times New Roman" w:hAnsi="Times New Roman"/>
                <w:b/>
                <w:bCs/>
                <w:sz w:val="24"/>
                <w:szCs w:val="24"/>
              </w:rPr>
              <w:t>60175</w:t>
            </w:r>
            <w:r w:rsidRPr="009A55BC">
              <w:rPr>
                <w:rFonts w:ascii="Times New Roman" w:hAnsi="Times New Roman"/>
                <w:sz w:val="24"/>
                <w:szCs w:val="24"/>
              </w:rPr>
              <w:tab/>
              <w:t>I  Jebkuri sarežģījumi pēcoperācijas periodā, kam nav nepieciešama specifiska ārstēšana (medikamentoza, radioloģiska, endoskopiska iejaukšanās), izņemot pamatterapiju (antiemētiķi, antipirētiķi, analgētiķi, diurētiķi, elektrolīti un fizioterapija). Šajā kategorijā ietilpst arī brūču infekcijas, kam nepieciešama tikai apstrāde pārsiešanu ietvaros (konservatīva terapija).</w:t>
            </w:r>
            <w:r w:rsidRPr="009A55BC">
              <w:rPr>
                <w:rFonts w:ascii="Times New Roman" w:hAnsi="Times New Roman"/>
                <w:sz w:val="24"/>
                <w:szCs w:val="24"/>
              </w:rPr>
              <w:tab/>
            </w:r>
          </w:p>
          <w:p w14:paraId="3F3C4260" w14:textId="77777777" w:rsidR="00A56812" w:rsidRPr="009A55BC" w:rsidRDefault="00A56812" w:rsidP="009A55BC">
            <w:pPr>
              <w:spacing w:line="240" w:lineRule="auto"/>
              <w:jc w:val="both"/>
              <w:rPr>
                <w:rFonts w:ascii="Times New Roman" w:hAnsi="Times New Roman"/>
                <w:sz w:val="24"/>
                <w:szCs w:val="24"/>
              </w:rPr>
            </w:pPr>
            <w:r w:rsidRPr="009A55BC">
              <w:rPr>
                <w:rFonts w:ascii="Times New Roman" w:hAnsi="Times New Roman"/>
                <w:b/>
                <w:bCs/>
                <w:sz w:val="24"/>
                <w:szCs w:val="24"/>
              </w:rPr>
              <w:t>60176</w:t>
            </w:r>
            <w:r w:rsidRPr="009A55BC">
              <w:rPr>
                <w:rFonts w:ascii="Times New Roman" w:hAnsi="Times New Roman"/>
                <w:sz w:val="24"/>
                <w:szCs w:val="24"/>
              </w:rPr>
              <w:tab/>
              <w:t xml:space="preserve">II Komplikācijas, kam nepieciešama papildus specifiska medikamentoza ārstēšana paralēli pamatterapijai. Iekļauta arī asins pārliešana un parenterālā barošana. </w:t>
            </w:r>
            <w:r w:rsidRPr="009A55BC">
              <w:rPr>
                <w:rFonts w:ascii="Times New Roman" w:hAnsi="Times New Roman"/>
                <w:sz w:val="24"/>
                <w:szCs w:val="24"/>
              </w:rPr>
              <w:tab/>
            </w:r>
          </w:p>
          <w:p w14:paraId="4CD82A44" w14:textId="3D5D8770" w:rsidR="00A56812" w:rsidRPr="009A55BC" w:rsidRDefault="00A56812" w:rsidP="009A55BC">
            <w:pPr>
              <w:spacing w:line="240" w:lineRule="auto"/>
              <w:jc w:val="both"/>
              <w:rPr>
                <w:rFonts w:ascii="Times New Roman" w:hAnsi="Times New Roman"/>
                <w:sz w:val="24"/>
                <w:szCs w:val="24"/>
              </w:rPr>
            </w:pPr>
            <w:r w:rsidRPr="009A55BC">
              <w:rPr>
                <w:rFonts w:ascii="Times New Roman" w:hAnsi="Times New Roman"/>
                <w:sz w:val="24"/>
                <w:szCs w:val="24"/>
              </w:rPr>
              <w:t>III Komplikācijas, kuru ārstēšanai nepieciešama ķirurģiska, endoskopiska vai radioloģiska iejaukšanās:</w:t>
            </w:r>
          </w:p>
          <w:p w14:paraId="267D3910" w14:textId="77777777" w:rsidR="00A56812" w:rsidRPr="009A55BC" w:rsidRDefault="00A56812" w:rsidP="009A55BC">
            <w:pPr>
              <w:spacing w:line="240" w:lineRule="auto"/>
              <w:jc w:val="both"/>
              <w:rPr>
                <w:rFonts w:ascii="Times New Roman" w:hAnsi="Times New Roman"/>
                <w:sz w:val="24"/>
                <w:szCs w:val="24"/>
              </w:rPr>
            </w:pPr>
            <w:r w:rsidRPr="009A55BC">
              <w:rPr>
                <w:rFonts w:ascii="Times New Roman" w:hAnsi="Times New Roman"/>
                <w:b/>
                <w:bCs/>
                <w:sz w:val="24"/>
                <w:szCs w:val="24"/>
              </w:rPr>
              <w:t>60177</w:t>
            </w:r>
            <w:r w:rsidRPr="009A55BC">
              <w:rPr>
                <w:rFonts w:ascii="Times New Roman" w:hAnsi="Times New Roman"/>
                <w:sz w:val="24"/>
                <w:szCs w:val="24"/>
              </w:rPr>
              <w:tab/>
            </w:r>
            <w:proofErr w:type="spellStart"/>
            <w:r w:rsidRPr="009A55BC">
              <w:rPr>
                <w:rFonts w:ascii="Times New Roman" w:hAnsi="Times New Roman"/>
                <w:sz w:val="24"/>
                <w:szCs w:val="24"/>
              </w:rPr>
              <w:t>IIIa</w:t>
            </w:r>
            <w:proofErr w:type="spellEnd"/>
            <w:r w:rsidRPr="009A55BC">
              <w:rPr>
                <w:rFonts w:ascii="Times New Roman" w:hAnsi="Times New Roman"/>
                <w:sz w:val="24"/>
                <w:szCs w:val="24"/>
              </w:rPr>
              <w:t xml:space="preserve"> bez vispārējās narkozes,</w:t>
            </w:r>
          </w:p>
          <w:p w14:paraId="2BF6364E" w14:textId="35FF8424" w:rsidR="00A56812" w:rsidRPr="009A55BC" w:rsidRDefault="00A56812" w:rsidP="009A55BC">
            <w:pPr>
              <w:spacing w:line="240" w:lineRule="auto"/>
              <w:jc w:val="both"/>
              <w:rPr>
                <w:rFonts w:ascii="Times New Roman" w:hAnsi="Times New Roman"/>
                <w:sz w:val="24"/>
                <w:szCs w:val="24"/>
              </w:rPr>
            </w:pPr>
            <w:r w:rsidRPr="009A55BC">
              <w:rPr>
                <w:rFonts w:ascii="Times New Roman" w:hAnsi="Times New Roman"/>
                <w:b/>
                <w:bCs/>
                <w:sz w:val="24"/>
                <w:szCs w:val="24"/>
              </w:rPr>
              <w:t>60178</w:t>
            </w:r>
            <w:r w:rsidRPr="009A55BC">
              <w:rPr>
                <w:rFonts w:ascii="Times New Roman" w:hAnsi="Times New Roman"/>
                <w:sz w:val="24"/>
                <w:szCs w:val="24"/>
              </w:rPr>
              <w:tab/>
            </w:r>
            <w:proofErr w:type="spellStart"/>
            <w:r w:rsidRPr="009A55BC">
              <w:rPr>
                <w:rFonts w:ascii="Times New Roman" w:hAnsi="Times New Roman"/>
                <w:sz w:val="24"/>
                <w:szCs w:val="24"/>
              </w:rPr>
              <w:t>IIIb</w:t>
            </w:r>
            <w:proofErr w:type="spellEnd"/>
            <w:r w:rsidRPr="009A55BC">
              <w:rPr>
                <w:rFonts w:ascii="Times New Roman" w:hAnsi="Times New Roman"/>
                <w:sz w:val="24"/>
                <w:szCs w:val="24"/>
              </w:rPr>
              <w:t xml:space="preserve"> vispārējā narkozē.</w:t>
            </w:r>
          </w:p>
          <w:p w14:paraId="1F8E14EC" w14:textId="666C69CF" w:rsidR="00A56812" w:rsidRPr="009A55BC" w:rsidRDefault="00A56812" w:rsidP="009A55BC">
            <w:pPr>
              <w:spacing w:line="240" w:lineRule="auto"/>
              <w:jc w:val="both"/>
              <w:rPr>
                <w:rFonts w:ascii="Times New Roman" w:hAnsi="Times New Roman"/>
                <w:sz w:val="24"/>
                <w:szCs w:val="24"/>
              </w:rPr>
            </w:pPr>
            <w:r w:rsidRPr="009A55BC">
              <w:rPr>
                <w:rFonts w:ascii="Times New Roman" w:hAnsi="Times New Roman"/>
                <w:sz w:val="24"/>
                <w:szCs w:val="24"/>
              </w:rPr>
              <w:t>IV Dzīvībai bīstamas komplikācijas, indicēta ārstēšanās intensīvās terapijas nodaļā:</w:t>
            </w:r>
            <w:r w:rsidRPr="009A55BC">
              <w:rPr>
                <w:rFonts w:ascii="Times New Roman" w:hAnsi="Times New Roman"/>
                <w:sz w:val="24"/>
                <w:szCs w:val="24"/>
              </w:rPr>
              <w:tab/>
            </w:r>
          </w:p>
          <w:p w14:paraId="28C55942" w14:textId="4D448E2E" w:rsidR="00A56812" w:rsidRPr="009A55BC" w:rsidRDefault="00A56812" w:rsidP="009A55BC">
            <w:pPr>
              <w:spacing w:line="240" w:lineRule="auto"/>
              <w:jc w:val="both"/>
              <w:rPr>
                <w:rFonts w:ascii="Times New Roman" w:hAnsi="Times New Roman"/>
                <w:sz w:val="24"/>
                <w:szCs w:val="24"/>
              </w:rPr>
            </w:pPr>
            <w:r w:rsidRPr="009A55BC">
              <w:rPr>
                <w:rFonts w:ascii="Times New Roman" w:hAnsi="Times New Roman"/>
                <w:b/>
                <w:bCs/>
                <w:sz w:val="24"/>
                <w:szCs w:val="24"/>
              </w:rPr>
              <w:t>60179</w:t>
            </w:r>
            <w:r w:rsidRPr="009A55BC">
              <w:rPr>
                <w:rFonts w:ascii="Times New Roman" w:hAnsi="Times New Roman"/>
                <w:sz w:val="24"/>
                <w:szCs w:val="24"/>
              </w:rPr>
              <w:tab/>
            </w:r>
            <w:proofErr w:type="spellStart"/>
            <w:r w:rsidRPr="009A55BC">
              <w:rPr>
                <w:rFonts w:ascii="Times New Roman" w:hAnsi="Times New Roman"/>
                <w:sz w:val="24"/>
                <w:szCs w:val="24"/>
              </w:rPr>
              <w:t>IVa</w:t>
            </w:r>
            <w:proofErr w:type="spellEnd"/>
            <w:r w:rsidRPr="009A55BC">
              <w:rPr>
                <w:rFonts w:ascii="Times New Roman" w:hAnsi="Times New Roman"/>
                <w:sz w:val="24"/>
                <w:szCs w:val="24"/>
              </w:rPr>
              <w:t xml:space="preserve"> viena orgāna disfunkcija,</w:t>
            </w:r>
          </w:p>
          <w:p w14:paraId="35FE034E" w14:textId="08951F65" w:rsidR="00A56812" w:rsidRPr="009A55BC" w:rsidRDefault="00A56812" w:rsidP="009A55BC">
            <w:pPr>
              <w:spacing w:line="240" w:lineRule="auto"/>
              <w:jc w:val="both"/>
              <w:rPr>
                <w:rFonts w:ascii="Times New Roman" w:hAnsi="Times New Roman"/>
                <w:sz w:val="24"/>
                <w:szCs w:val="24"/>
              </w:rPr>
            </w:pPr>
            <w:r w:rsidRPr="009A55BC">
              <w:rPr>
                <w:rFonts w:ascii="Times New Roman" w:hAnsi="Times New Roman"/>
                <w:b/>
                <w:bCs/>
                <w:sz w:val="24"/>
                <w:szCs w:val="24"/>
              </w:rPr>
              <w:t>60180</w:t>
            </w:r>
            <w:r w:rsidRPr="009A55BC">
              <w:rPr>
                <w:rFonts w:ascii="Times New Roman" w:hAnsi="Times New Roman"/>
                <w:sz w:val="24"/>
                <w:szCs w:val="24"/>
              </w:rPr>
              <w:tab/>
            </w:r>
            <w:proofErr w:type="spellStart"/>
            <w:r w:rsidRPr="009A55BC">
              <w:rPr>
                <w:rFonts w:ascii="Times New Roman" w:hAnsi="Times New Roman"/>
                <w:sz w:val="24"/>
                <w:szCs w:val="24"/>
              </w:rPr>
              <w:t>IVb</w:t>
            </w:r>
            <w:proofErr w:type="spellEnd"/>
            <w:r w:rsidRPr="009A55BC">
              <w:rPr>
                <w:rFonts w:ascii="Times New Roman" w:hAnsi="Times New Roman"/>
                <w:sz w:val="24"/>
                <w:szCs w:val="24"/>
              </w:rPr>
              <w:t xml:space="preserve"> vairāku orgānu disfunkcija.</w:t>
            </w:r>
          </w:p>
          <w:p w14:paraId="6CD1A85E" w14:textId="1E919566" w:rsidR="00A56812" w:rsidRPr="009A55BC" w:rsidRDefault="00A56812" w:rsidP="009A55BC">
            <w:pPr>
              <w:spacing w:line="240" w:lineRule="auto"/>
              <w:jc w:val="both"/>
              <w:rPr>
                <w:rFonts w:ascii="Times New Roman" w:hAnsi="Times New Roman"/>
                <w:sz w:val="24"/>
                <w:szCs w:val="24"/>
              </w:rPr>
            </w:pPr>
            <w:r w:rsidRPr="009A55BC">
              <w:rPr>
                <w:rFonts w:ascii="Times New Roman" w:hAnsi="Times New Roman"/>
                <w:b/>
                <w:bCs/>
                <w:sz w:val="24"/>
                <w:szCs w:val="24"/>
              </w:rPr>
              <w:t>60174</w:t>
            </w:r>
            <w:r w:rsidRPr="009A55BC">
              <w:rPr>
                <w:rFonts w:ascii="Times New Roman" w:hAnsi="Times New Roman"/>
                <w:sz w:val="24"/>
                <w:szCs w:val="24"/>
              </w:rPr>
              <w:tab/>
              <w:t>Pēcoperācijas periods bez sarežģījumiem</w:t>
            </w:r>
          </w:p>
          <w:p w14:paraId="29BF2268" w14:textId="4235009B" w:rsidR="00A56812" w:rsidRPr="009A55BC" w:rsidRDefault="00A56812"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rPr>
              <w:t>*</w:t>
            </w:r>
            <w:r w:rsidRPr="009A55BC">
              <w:rPr>
                <w:rFonts w:ascii="Times New Roman" w:hAnsi="Times New Roman"/>
                <w:sz w:val="24"/>
                <w:szCs w:val="24"/>
              </w:rPr>
              <w:tab/>
              <w:t xml:space="preserve">Daniel </w:t>
            </w:r>
            <w:proofErr w:type="spellStart"/>
            <w:r w:rsidRPr="009A55BC">
              <w:rPr>
                <w:rFonts w:ascii="Times New Roman" w:hAnsi="Times New Roman"/>
                <w:sz w:val="24"/>
                <w:szCs w:val="24"/>
              </w:rPr>
              <w:t>Dindo</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Nicolas</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Demartines</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and</w:t>
            </w:r>
            <w:proofErr w:type="spellEnd"/>
            <w:r w:rsidRPr="009A55BC">
              <w:rPr>
                <w:rFonts w:ascii="Times New Roman" w:hAnsi="Times New Roman"/>
                <w:sz w:val="24"/>
                <w:szCs w:val="24"/>
              </w:rPr>
              <w:t xml:space="preserve"> Pierre-</w:t>
            </w:r>
            <w:proofErr w:type="spellStart"/>
            <w:r w:rsidRPr="009A55BC">
              <w:rPr>
                <w:rFonts w:ascii="Times New Roman" w:hAnsi="Times New Roman"/>
                <w:sz w:val="24"/>
                <w:szCs w:val="24"/>
              </w:rPr>
              <w:t>Alain</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Clavien</w:t>
            </w:r>
            <w:proofErr w:type="spellEnd"/>
            <w:r w:rsidRPr="009A55BC">
              <w:rPr>
                <w:rFonts w:ascii="Times New Roman" w:hAnsi="Times New Roman"/>
                <w:sz w:val="24"/>
                <w:szCs w:val="24"/>
              </w:rPr>
              <w:t xml:space="preserve">. 2004. </w:t>
            </w:r>
            <w:proofErr w:type="spellStart"/>
            <w:r w:rsidRPr="009A55BC">
              <w:rPr>
                <w:rFonts w:ascii="Times New Roman" w:hAnsi="Times New Roman"/>
                <w:sz w:val="24"/>
                <w:szCs w:val="24"/>
              </w:rPr>
              <w:t>Classification</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of</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Surgical</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Complications</w:t>
            </w:r>
            <w:proofErr w:type="spellEnd"/>
            <w:r w:rsidRPr="009A55BC">
              <w:rPr>
                <w:rFonts w:ascii="Times New Roman" w:hAnsi="Times New Roman"/>
                <w:sz w:val="24"/>
                <w:szCs w:val="24"/>
              </w:rPr>
              <w:t xml:space="preserve">. A </w:t>
            </w:r>
            <w:proofErr w:type="spellStart"/>
            <w:r w:rsidRPr="009A55BC">
              <w:rPr>
                <w:rFonts w:ascii="Times New Roman" w:hAnsi="Times New Roman"/>
                <w:sz w:val="24"/>
                <w:szCs w:val="24"/>
              </w:rPr>
              <w:t>New</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Proposal</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With</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Evaluation</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in</w:t>
            </w:r>
            <w:proofErr w:type="spellEnd"/>
            <w:r w:rsidRPr="009A55BC">
              <w:rPr>
                <w:rFonts w:ascii="Times New Roman" w:hAnsi="Times New Roman"/>
                <w:sz w:val="24"/>
                <w:szCs w:val="24"/>
              </w:rPr>
              <w:t xml:space="preserve"> a </w:t>
            </w:r>
            <w:proofErr w:type="spellStart"/>
            <w:r w:rsidRPr="009A55BC">
              <w:rPr>
                <w:rFonts w:ascii="Times New Roman" w:hAnsi="Times New Roman"/>
                <w:sz w:val="24"/>
                <w:szCs w:val="24"/>
              </w:rPr>
              <w:t>Cohort</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of</w:t>
            </w:r>
            <w:proofErr w:type="spellEnd"/>
            <w:r w:rsidRPr="009A55BC">
              <w:rPr>
                <w:rFonts w:ascii="Times New Roman" w:hAnsi="Times New Roman"/>
                <w:sz w:val="24"/>
                <w:szCs w:val="24"/>
              </w:rPr>
              <w:t xml:space="preserve"> 6336 </w:t>
            </w:r>
            <w:proofErr w:type="spellStart"/>
            <w:r w:rsidRPr="009A55BC">
              <w:rPr>
                <w:rFonts w:ascii="Times New Roman" w:hAnsi="Times New Roman"/>
                <w:sz w:val="24"/>
                <w:szCs w:val="24"/>
              </w:rPr>
              <w:t>Patients</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and</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Results</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of</w:t>
            </w:r>
            <w:proofErr w:type="spellEnd"/>
            <w:r w:rsidRPr="009A55BC">
              <w:rPr>
                <w:rFonts w:ascii="Times New Roman" w:hAnsi="Times New Roman"/>
                <w:sz w:val="24"/>
                <w:szCs w:val="24"/>
              </w:rPr>
              <w:t xml:space="preserve"> a </w:t>
            </w:r>
            <w:proofErr w:type="spellStart"/>
            <w:r w:rsidRPr="009A55BC">
              <w:rPr>
                <w:rFonts w:ascii="Times New Roman" w:hAnsi="Times New Roman"/>
                <w:sz w:val="24"/>
                <w:szCs w:val="24"/>
              </w:rPr>
              <w:t>Survey</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Annals</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of</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Surgery</w:t>
            </w:r>
            <w:proofErr w:type="spellEnd"/>
            <w:r w:rsidRPr="009A55BC">
              <w:rPr>
                <w:rFonts w:ascii="Times New Roman" w:hAnsi="Times New Roman"/>
                <w:sz w:val="24"/>
                <w:szCs w:val="24"/>
              </w:rPr>
              <w:t>. Aug; 240(2): 205–213.</w:t>
            </w:r>
          </w:p>
        </w:tc>
      </w:tr>
      <w:tr w:rsidR="00A56812" w:rsidRPr="009A55BC" w14:paraId="190A0B43" w14:textId="77777777" w:rsidTr="009A55BC">
        <w:trPr>
          <w:cantSplit/>
        </w:trPr>
        <w:tc>
          <w:tcPr>
            <w:tcW w:w="1287" w:type="dxa"/>
          </w:tcPr>
          <w:p w14:paraId="69789FF9" w14:textId="00A2364D" w:rsidR="00A56812" w:rsidRPr="009A55BC" w:rsidRDefault="005D7B31"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lastRenderedPageBreak/>
              <w:t>3.</w:t>
            </w:r>
            <w:r w:rsidR="00A56812" w:rsidRPr="009A55BC">
              <w:rPr>
                <w:rFonts w:ascii="Times New Roman" w:hAnsi="Times New Roman"/>
                <w:sz w:val="24"/>
                <w:szCs w:val="24"/>
              </w:rPr>
              <w:t>4.</w:t>
            </w:r>
          </w:p>
        </w:tc>
        <w:tc>
          <w:tcPr>
            <w:tcW w:w="2824" w:type="dxa"/>
          </w:tcPr>
          <w:p w14:paraId="3A8A36BE" w14:textId="2564F52A" w:rsidR="009430D7" w:rsidRPr="009A55BC" w:rsidRDefault="00A56812" w:rsidP="003112BE">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rPr>
              <w:t>Unikālo pacientu skaita procentuālais īpatsvars, kuri saņēmuši plānveida onkoloģisko ķirurģisko ārstēšanu</w:t>
            </w:r>
            <w:r w:rsidR="000E224A" w:rsidRPr="009A55BC">
              <w:rPr>
                <w:rFonts w:ascii="Times New Roman" w:hAnsi="Times New Roman"/>
                <w:sz w:val="24"/>
                <w:szCs w:val="24"/>
                <w:vertAlign w:val="superscript"/>
              </w:rPr>
              <w:t>4</w:t>
            </w:r>
            <w:r w:rsidR="000E224A">
              <w:rPr>
                <w:rFonts w:ascii="Times New Roman" w:hAnsi="Times New Roman"/>
                <w:sz w:val="24"/>
                <w:szCs w:val="24"/>
              </w:rPr>
              <w:t xml:space="preserve"> </w:t>
            </w:r>
            <w:r w:rsidR="000256DB" w:rsidRPr="009A55BC">
              <w:rPr>
                <w:rFonts w:ascii="Times New Roman" w:hAnsi="Times New Roman"/>
                <w:sz w:val="24"/>
                <w:szCs w:val="24"/>
              </w:rPr>
              <w:t>(pie auss, deguna un balsenes, un ādas ļaundabīgajiem audzējiem arī ambulatorie pakalpojumi un dienas stacionāra pakalpojumi)</w:t>
            </w:r>
            <w:r w:rsidRPr="009A55BC">
              <w:rPr>
                <w:rFonts w:ascii="Times New Roman" w:hAnsi="Times New Roman"/>
                <w:sz w:val="24"/>
                <w:szCs w:val="24"/>
              </w:rPr>
              <w:t xml:space="preserve">   28 dienu laikā pēc ambulatorā vai stacionārā konsīlija (terapijas taktikas pieņemšana)</w:t>
            </w:r>
            <w:r w:rsidR="00903ACE" w:rsidRPr="009A55BC">
              <w:rPr>
                <w:rFonts w:ascii="Times New Roman" w:hAnsi="Times New Roman"/>
                <w:sz w:val="24"/>
                <w:szCs w:val="24"/>
              </w:rPr>
              <w:t xml:space="preserve"> diagnozēs</w:t>
            </w:r>
            <w:r w:rsidR="000C0B72" w:rsidRPr="009A55BC">
              <w:rPr>
                <w:rFonts w:ascii="Times New Roman" w:hAnsi="Times New Roman"/>
                <w:sz w:val="24"/>
                <w:szCs w:val="24"/>
              </w:rPr>
              <w:t xml:space="preserve"> C00–C97, D00–D09, D37–D48 un D61</w:t>
            </w:r>
            <w:r w:rsidR="00347F27" w:rsidRPr="009A55BC">
              <w:rPr>
                <w:rFonts w:ascii="Times New Roman" w:hAnsi="Times New Roman"/>
                <w:sz w:val="24"/>
                <w:szCs w:val="24"/>
              </w:rPr>
              <w:t xml:space="preserve">  </w:t>
            </w:r>
          </w:p>
          <w:p w14:paraId="539DFEFA" w14:textId="42FAEFFA" w:rsidR="00A56812" w:rsidRPr="009A55BC" w:rsidRDefault="00A56812" w:rsidP="009A55BC">
            <w:pPr>
              <w:pStyle w:val="ListParagraph"/>
              <w:spacing w:line="240" w:lineRule="auto"/>
              <w:ind w:left="0"/>
              <w:rPr>
                <w:rFonts w:ascii="Times New Roman" w:hAnsi="Times New Roman"/>
                <w:sz w:val="24"/>
                <w:szCs w:val="24"/>
              </w:rPr>
            </w:pPr>
          </w:p>
        </w:tc>
        <w:tc>
          <w:tcPr>
            <w:tcW w:w="5812" w:type="dxa"/>
          </w:tcPr>
          <w:p w14:paraId="3D069725" w14:textId="3D2AC23C" w:rsidR="00A56812" w:rsidRPr="009A55BC" w:rsidRDefault="005A34F0" w:rsidP="00AF26BC">
            <w:pPr>
              <w:pStyle w:val="ListParagraph"/>
              <w:pBdr>
                <w:top w:val="single" w:sz="4" w:space="1" w:color="auto"/>
                <w:left w:val="single" w:sz="4" w:space="4" w:color="auto"/>
                <w:bottom w:val="single" w:sz="4" w:space="1" w:color="auto"/>
                <w:right w:val="single" w:sz="4" w:space="4" w:color="auto"/>
              </w:pBdr>
              <w:spacing w:line="240" w:lineRule="auto"/>
              <w:ind w:left="0"/>
              <w:jc w:val="center"/>
              <w:rPr>
                <w:rFonts w:ascii="Times New Roman" w:hAnsi="Times New Roman"/>
                <w:sz w:val="24"/>
                <w:szCs w:val="24"/>
              </w:rPr>
            </w:pPr>
            <w:r>
              <w:rPr>
                <w:rFonts w:ascii="Times New Roman" w:hAnsi="Times New Roman"/>
                <w:sz w:val="24"/>
                <w:szCs w:val="24"/>
              </w:rPr>
              <w:t>a</w:t>
            </w:r>
            <w:r w:rsidR="00A56812" w:rsidRPr="009A55BC">
              <w:rPr>
                <w:rFonts w:ascii="Times New Roman" w:hAnsi="Times New Roman"/>
                <w:sz w:val="24"/>
                <w:szCs w:val="24"/>
              </w:rPr>
              <w:t>tbilstoši D</w:t>
            </w:r>
            <w:r w:rsidR="00AB76E4">
              <w:rPr>
                <w:rFonts w:ascii="Times New Roman" w:hAnsi="Times New Roman"/>
                <w:sz w:val="24"/>
                <w:szCs w:val="24"/>
              </w:rPr>
              <w:t>IENESTA</w:t>
            </w:r>
            <w:r w:rsidR="00A56812" w:rsidRPr="009A55BC">
              <w:rPr>
                <w:rFonts w:ascii="Times New Roman" w:hAnsi="Times New Roman"/>
                <w:sz w:val="24"/>
                <w:szCs w:val="24"/>
              </w:rPr>
              <w:t xml:space="preserve"> veselības aprūpes pakalpojumu apmaksas norēķinu sistēmas „Vadības informācijas sistēma” datiem unikālo pacientu skaits, kuri 28 dienu periodā</w:t>
            </w:r>
            <w:r w:rsidR="00A56812" w:rsidRPr="009A55BC">
              <w:rPr>
                <w:rFonts w:ascii="Times New Roman" w:hAnsi="Times New Roman"/>
                <w:sz w:val="24"/>
                <w:szCs w:val="24"/>
                <w:vertAlign w:val="superscript"/>
              </w:rPr>
              <w:t>1</w:t>
            </w:r>
            <w:r w:rsidR="00A56812" w:rsidRPr="009A55BC">
              <w:rPr>
                <w:rFonts w:ascii="Times New Roman" w:hAnsi="Times New Roman"/>
                <w:sz w:val="24"/>
                <w:szCs w:val="24"/>
              </w:rPr>
              <w:t xml:space="preserve"> pēc ambulatorā vai stacionārā konsīlija (terapijas taktikas pieņemšana) plānveidā saņēmuši onkoloģiskās ķirurģijas pakalpojumu</w:t>
            </w:r>
            <w:r w:rsidR="00AF26BC">
              <w:rPr>
                <w:rFonts w:ascii="Times New Roman" w:hAnsi="Times New Roman"/>
                <w:sz w:val="24"/>
                <w:szCs w:val="24"/>
              </w:rPr>
              <w:t>s</w:t>
            </w:r>
            <w:r w:rsidR="00A56812" w:rsidRPr="009A55BC">
              <w:rPr>
                <w:rFonts w:ascii="Times New Roman" w:hAnsi="Times New Roman"/>
                <w:sz w:val="24"/>
                <w:szCs w:val="24"/>
                <w:vertAlign w:val="superscript"/>
              </w:rPr>
              <w:t>2</w:t>
            </w:r>
            <w:r w:rsidR="00AF26BC">
              <w:rPr>
                <w:rFonts w:ascii="Times New Roman" w:hAnsi="Times New Roman"/>
                <w:sz w:val="24"/>
                <w:szCs w:val="24"/>
                <w:vertAlign w:val="superscript"/>
              </w:rPr>
              <w:t xml:space="preserve"> </w:t>
            </w:r>
            <w:r w:rsidR="00A56812" w:rsidRPr="009A55BC">
              <w:rPr>
                <w:rFonts w:ascii="Times New Roman" w:hAnsi="Times New Roman"/>
                <w:sz w:val="24"/>
                <w:szCs w:val="24"/>
              </w:rPr>
              <w:t>/</w:t>
            </w:r>
            <w:r w:rsidR="00AF26BC">
              <w:rPr>
                <w:rFonts w:ascii="Times New Roman" w:hAnsi="Times New Roman"/>
                <w:sz w:val="24"/>
                <w:szCs w:val="24"/>
              </w:rPr>
              <w:t xml:space="preserve"> k</w:t>
            </w:r>
            <w:r w:rsidR="00A56812" w:rsidRPr="009A55BC">
              <w:rPr>
                <w:rFonts w:ascii="Times New Roman" w:hAnsi="Times New Roman"/>
                <w:sz w:val="24"/>
                <w:szCs w:val="24"/>
              </w:rPr>
              <w:t>opējais unikālo onkoloģisko pacientu skaits, kuriem bijis ārstu konsīlijs terapijas taktikas pieņemšanai ar nosūtījumu onkoloģiskā ķirurģiskā pakalpojuma saņemšanai</w:t>
            </w:r>
            <w:r w:rsidR="00A56812" w:rsidRPr="009A55BC">
              <w:rPr>
                <w:rFonts w:ascii="Times New Roman" w:hAnsi="Times New Roman"/>
                <w:sz w:val="24"/>
                <w:szCs w:val="24"/>
                <w:vertAlign w:val="superscript"/>
              </w:rPr>
              <w:t>3</w:t>
            </w:r>
            <w:r w:rsidR="00A56812" w:rsidRPr="009A55BC">
              <w:rPr>
                <w:rFonts w:ascii="Times New Roman" w:hAnsi="Times New Roman"/>
                <w:sz w:val="24"/>
                <w:szCs w:val="24"/>
              </w:rPr>
              <w:t>, izteikts %</w:t>
            </w:r>
            <w:r w:rsidR="000E224A">
              <w:rPr>
                <w:rFonts w:ascii="Times New Roman" w:hAnsi="Times New Roman"/>
                <w:sz w:val="24"/>
                <w:szCs w:val="24"/>
                <w:vertAlign w:val="superscript"/>
              </w:rPr>
              <w:t>5</w:t>
            </w:r>
          </w:p>
          <w:p w14:paraId="335EE1FC" w14:textId="466F04A0" w:rsidR="00A56812" w:rsidRPr="009A55BC" w:rsidRDefault="00A56812"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vertAlign w:val="superscript"/>
              </w:rPr>
              <w:t>1</w:t>
            </w:r>
            <w:r w:rsidR="00BC405B">
              <w:rPr>
                <w:rFonts w:ascii="Times New Roman" w:hAnsi="Times New Roman"/>
                <w:sz w:val="24"/>
                <w:szCs w:val="24"/>
                <w:vertAlign w:val="superscript"/>
              </w:rPr>
              <w:t xml:space="preserve"> </w:t>
            </w:r>
            <w:r w:rsidRPr="009A55BC">
              <w:rPr>
                <w:rFonts w:ascii="Times New Roman" w:hAnsi="Times New Roman"/>
                <w:sz w:val="24"/>
                <w:szCs w:val="24"/>
              </w:rPr>
              <w:t>28 dienu periodu skaita no ambulatorā talona vai stacionārā uzskaites dokumenta, kurā uzrādīta</w:t>
            </w:r>
            <w:r w:rsidR="00481269" w:rsidRPr="009A55BC">
              <w:rPr>
                <w:rFonts w:ascii="Times New Roman" w:hAnsi="Times New Roman"/>
                <w:sz w:val="24"/>
                <w:szCs w:val="24"/>
              </w:rPr>
              <w:t>s</w:t>
            </w:r>
            <w:r w:rsidRPr="009A55BC">
              <w:rPr>
                <w:rFonts w:ascii="Times New Roman" w:hAnsi="Times New Roman"/>
                <w:sz w:val="24"/>
                <w:szCs w:val="24"/>
              </w:rPr>
              <w:t xml:space="preserve"> konsīlija manipulācija</w:t>
            </w:r>
            <w:r w:rsidR="00481269" w:rsidRPr="009A55BC">
              <w:rPr>
                <w:rFonts w:ascii="Times New Roman" w:hAnsi="Times New Roman"/>
                <w:sz w:val="24"/>
                <w:szCs w:val="24"/>
              </w:rPr>
              <w:t>s</w:t>
            </w:r>
            <w:r w:rsidRPr="009A55BC">
              <w:rPr>
                <w:rFonts w:ascii="Times New Roman" w:hAnsi="Times New Roman"/>
                <w:sz w:val="24"/>
                <w:szCs w:val="24"/>
              </w:rPr>
              <w:t xml:space="preserve"> </w:t>
            </w:r>
            <w:r w:rsidR="00481269" w:rsidRPr="009A55BC">
              <w:rPr>
                <w:rFonts w:ascii="Times New Roman" w:hAnsi="Times New Roman"/>
                <w:sz w:val="24"/>
                <w:szCs w:val="24"/>
              </w:rPr>
              <w:t>60228</w:t>
            </w:r>
            <w:r w:rsidR="00AF26BC">
              <w:rPr>
                <w:rFonts w:ascii="Times New Roman" w:hAnsi="Times New Roman"/>
                <w:sz w:val="24"/>
                <w:szCs w:val="24"/>
              </w:rPr>
              <w:t xml:space="preserve"> </w:t>
            </w:r>
            <w:r w:rsidR="00481269" w:rsidRPr="009A55BC">
              <w:rPr>
                <w:rFonts w:ascii="Times New Roman" w:hAnsi="Times New Roman"/>
                <w:sz w:val="24"/>
                <w:szCs w:val="24"/>
              </w:rPr>
              <w:t xml:space="preserve">un </w:t>
            </w:r>
            <w:r w:rsidRPr="009A55BC">
              <w:rPr>
                <w:rFonts w:ascii="Times New Roman" w:hAnsi="Times New Roman"/>
                <w:sz w:val="24"/>
                <w:szCs w:val="24"/>
              </w:rPr>
              <w:t>60218. Ārstu konsīlijs terapijas taktikas pieņemšanai pacientam ar pirmreizēji diagnosticētu onkoloģisko slimību</w:t>
            </w:r>
            <w:r w:rsidR="00AF26BC">
              <w:rPr>
                <w:rFonts w:ascii="Times New Roman" w:hAnsi="Times New Roman"/>
                <w:sz w:val="24"/>
                <w:szCs w:val="24"/>
              </w:rPr>
              <w:t xml:space="preserve"> un pacientam ar diagnosticētu onkoloģiskās slimības recidīvu</w:t>
            </w:r>
            <w:r w:rsidRPr="009A55BC">
              <w:rPr>
                <w:rFonts w:ascii="Times New Roman" w:hAnsi="Times New Roman"/>
                <w:sz w:val="24"/>
                <w:szCs w:val="24"/>
              </w:rPr>
              <w:t>.</w:t>
            </w:r>
          </w:p>
          <w:p w14:paraId="467414FA" w14:textId="2C114917" w:rsidR="00A56812" w:rsidRPr="009A55BC" w:rsidRDefault="00A56812"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vertAlign w:val="superscript"/>
              </w:rPr>
              <w:t>2</w:t>
            </w:r>
            <w:r w:rsidRPr="009A55BC">
              <w:rPr>
                <w:rFonts w:ascii="Times New Roman" w:hAnsi="Times New Roman"/>
                <w:sz w:val="24"/>
                <w:szCs w:val="24"/>
              </w:rPr>
              <w:t xml:space="preserve"> Atlasa visus unikālos stacionāros pacientus, kuri 28 dienu periodā pēc ambulatorā vai stacionārā ārstu konsīlija plānveidā saņēmuši onkoloģiskās ķirurģijas pakalpojumus stacionārā</w:t>
            </w:r>
            <w:r w:rsidR="000256DB" w:rsidRPr="009A55BC">
              <w:rPr>
                <w:rFonts w:ascii="Times New Roman" w:hAnsi="Times New Roman"/>
                <w:sz w:val="24"/>
                <w:szCs w:val="24"/>
              </w:rPr>
              <w:t xml:space="preserve"> (pie auss, deguna un balsenes, un ādas ļaundabīgajiem audzējiem arī ambulatorie pakalpojumi un dienas stacionāra pakalpojumi)</w:t>
            </w:r>
            <w:r w:rsidRPr="009A55BC">
              <w:rPr>
                <w:rFonts w:ascii="Times New Roman" w:hAnsi="Times New Roman"/>
                <w:sz w:val="24"/>
                <w:szCs w:val="24"/>
              </w:rPr>
              <w:t xml:space="preserve"> un kuriem Dienesta Veselības aprūpes un pakalpojumu apmaksas norēķinu sistēmā ir norādīta pamata izrakstīšanas diagnoze </w:t>
            </w:r>
            <w:r w:rsidR="002F2F14" w:rsidRPr="009A55BC">
              <w:rPr>
                <w:rFonts w:ascii="Times New Roman" w:hAnsi="Times New Roman"/>
                <w:sz w:val="24"/>
                <w:szCs w:val="24"/>
              </w:rPr>
              <w:t xml:space="preserve"> C00–C97, D00–D09, D37–D48 un D61</w:t>
            </w:r>
            <w:r w:rsidRPr="009A55BC">
              <w:rPr>
                <w:rFonts w:ascii="Times New Roman" w:hAnsi="Times New Roman"/>
                <w:sz w:val="24"/>
                <w:szCs w:val="24"/>
              </w:rPr>
              <w:t>, kā arī  kāda no atbilstošām manipulācijām terapijas taktikas pieņemšanai.</w:t>
            </w:r>
          </w:p>
          <w:p w14:paraId="1380540F" w14:textId="37540D2F" w:rsidR="00A56812" w:rsidRDefault="00A56812"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vertAlign w:val="superscript"/>
              </w:rPr>
              <w:t>3</w:t>
            </w:r>
            <w:r w:rsidR="00AF26BC">
              <w:rPr>
                <w:rFonts w:ascii="Times New Roman" w:hAnsi="Times New Roman"/>
                <w:sz w:val="24"/>
                <w:szCs w:val="24"/>
                <w:vertAlign w:val="superscript"/>
              </w:rPr>
              <w:t xml:space="preserve"> </w:t>
            </w:r>
            <w:r w:rsidRPr="009A55BC">
              <w:rPr>
                <w:rFonts w:ascii="Times New Roman" w:hAnsi="Times New Roman"/>
                <w:sz w:val="24"/>
                <w:szCs w:val="24"/>
              </w:rPr>
              <w:t>Analizējamajā datu kopā netiek iekļauti pacienti, kuriem nozīmēta cita veida ārstēšana (atbilstoši uzskaites dokumentā norādītajai statistikas manipulācijai) vai kuri miruši 28 dienu laikā pēc konsīlija.</w:t>
            </w:r>
          </w:p>
          <w:p w14:paraId="0C4D84D0" w14:textId="3E42C2A8" w:rsidR="000E224A" w:rsidRPr="009A55BC" w:rsidRDefault="000E224A"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vertAlign w:val="superscript"/>
              </w:rPr>
              <w:t>4</w:t>
            </w:r>
            <w:r>
              <w:rPr>
                <w:rFonts w:ascii="Times New Roman" w:hAnsi="Times New Roman"/>
                <w:sz w:val="24"/>
                <w:szCs w:val="24"/>
              </w:rPr>
              <w:t xml:space="preserve"> Pacienti, kam veiktas 1. pielikumā norādītās NCSP manipulācijas.</w:t>
            </w:r>
          </w:p>
          <w:p w14:paraId="6B899AF1" w14:textId="3CFB6F84" w:rsidR="00A56812" w:rsidRPr="009A55BC" w:rsidRDefault="000E224A" w:rsidP="009A55BC">
            <w:pPr>
              <w:pStyle w:val="ListParagraph"/>
              <w:spacing w:line="240" w:lineRule="auto"/>
              <w:ind w:left="0"/>
              <w:jc w:val="both"/>
              <w:rPr>
                <w:rFonts w:ascii="Times New Roman" w:hAnsi="Times New Roman"/>
                <w:sz w:val="24"/>
                <w:szCs w:val="24"/>
              </w:rPr>
            </w:pPr>
            <w:r>
              <w:rPr>
                <w:rFonts w:ascii="Times New Roman" w:hAnsi="Times New Roman"/>
                <w:sz w:val="24"/>
                <w:szCs w:val="24"/>
                <w:vertAlign w:val="superscript"/>
              </w:rPr>
              <w:t>5</w:t>
            </w:r>
            <w:r w:rsidR="00AF26BC">
              <w:rPr>
                <w:rFonts w:ascii="Times New Roman" w:hAnsi="Times New Roman"/>
                <w:sz w:val="24"/>
                <w:szCs w:val="24"/>
                <w:vertAlign w:val="superscript"/>
              </w:rPr>
              <w:t xml:space="preserve"> </w:t>
            </w:r>
            <w:r w:rsidR="00A56812" w:rsidRPr="009A55BC">
              <w:rPr>
                <w:rFonts w:ascii="Times New Roman" w:hAnsi="Times New Roman"/>
                <w:sz w:val="24"/>
                <w:szCs w:val="24"/>
              </w:rPr>
              <w:t xml:space="preserve">Rezultātā tiek iegūts unikālo pacientu procentuālais īpatsvars, kurš pēc šī pielikuma </w:t>
            </w:r>
            <w:r w:rsidR="00A451DC" w:rsidRPr="009A55BC">
              <w:rPr>
                <w:rFonts w:ascii="Times New Roman" w:hAnsi="Times New Roman"/>
                <w:sz w:val="24"/>
                <w:szCs w:val="24"/>
              </w:rPr>
              <w:t>5</w:t>
            </w:r>
            <w:r w:rsidR="00A56812" w:rsidRPr="009A55BC">
              <w:rPr>
                <w:rFonts w:ascii="Times New Roman" w:hAnsi="Times New Roman"/>
                <w:sz w:val="24"/>
                <w:szCs w:val="24"/>
              </w:rPr>
              <w:t>.</w:t>
            </w:r>
            <w:r w:rsidR="00157DD5" w:rsidRPr="009A55BC">
              <w:rPr>
                <w:rFonts w:ascii="Times New Roman" w:hAnsi="Times New Roman"/>
                <w:sz w:val="24"/>
                <w:szCs w:val="24"/>
              </w:rPr>
              <w:t>4</w:t>
            </w:r>
            <w:r w:rsidR="00A56812" w:rsidRPr="009A55BC">
              <w:rPr>
                <w:rFonts w:ascii="Times New Roman" w:hAnsi="Times New Roman"/>
                <w:sz w:val="24"/>
                <w:szCs w:val="24"/>
              </w:rPr>
              <w:t>.</w:t>
            </w:r>
            <w:r w:rsidR="00AF26BC">
              <w:rPr>
                <w:rFonts w:ascii="Times New Roman" w:hAnsi="Times New Roman"/>
                <w:sz w:val="24"/>
                <w:szCs w:val="24"/>
              </w:rPr>
              <w:t xml:space="preserve"> </w:t>
            </w:r>
            <w:r w:rsidR="00A56812" w:rsidRPr="009A55BC">
              <w:rPr>
                <w:rFonts w:ascii="Times New Roman" w:hAnsi="Times New Roman"/>
                <w:sz w:val="24"/>
                <w:szCs w:val="24"/>
              </w:rPr>
              <w:t>apakšpunkta mērķa rādītāja vērtējams kā pieņemams, uzraugāms vai nepieņemams</w:t>
            </w:r>
            <w:r w:rsidR="00AF26BC" w:rsidRPr="00AF26BC">
              <w:rPr>
                <w:rFonts w:ascii="Times New Roman" w:hAnsi="Times New Roman"/>
                <w:sz w:val="24"/>
                <w:szCs w:val="24"/>
              </w:rPr>
              <w:t>.</w:t>
            </w:r>
          </w:p>
        </w:tc>
      </w:tr>
      <w:tr w:rsidR="00A56812" w:rsidRPr="009A55BC" w14:paraId="2F884002" w14:textId="77777777" w:rsidTr="009A55BC">
        <w:trPr>
          <w:cantSplit/>
        </w:trPr>
        <w:tc>
          <w:tcPr>
            <w:tcW w:w="1287" w:type="dxa"/>
          </w:tcPr>
          <w:p w14:paraId="315EB89F" w14:textId="6F7373C4" w:rsidR="00A56812" w:rsidRPr="009A55BC" w:rsidRDefault="009E325F"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3.5.</w:t>
            </w:r>
          </w:p>
        </w:tc>
        <w:tc>
          <w:tcPr>
            <w:tcW w:w="2824" w:type="dxa"/>
          </w:tcPr>
          <w:p w14:paraId="19DD76D8" w14:textId="1F09FB49" w:rsidR="00A56812" w:rsidRPr="009A55BC" w:rsidRDefault="00A56812"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Pacientu sūdzību īpatsvars</w:t>
            </w:r>
          </w:p>
        </w:tc>
        <w:tc>
          <w:tcPr>
            <w:tcW w:w="5812" w:type="dxa"/>
          </w:tcPr>
          <w:p w14:paraId="34156FAA" w14:textId="5953329E" w:rsidR="00A56812" w:rsidRPr="009A55BC" w:rsidRDefault="005A34F0" w:rsidP="00AF26BC">
            <w:pPr>
              <w:pStyle w:val="ListParagraph"/>
              <w:pBdr>
                <w:top w:val="single" w:sz="4" w:space="1" w:color="auto"/>
                <w:left w:val="single" w:sz="4" w:space="4" w:color="auto"/>
                <w:bottom w:val="single" w:sz="4" w:space="1" w:color="auto"/>
                <w:right w:val="single" w:sz="4" w:space="4" w:color="auto"/>
              </w:pBdr>
              <w:spacing w:line="240" w:lineRule="auto"/>
              <w:ind w:left="0"/>
              <w:jc w:val="center"/>
              <w:rPr>
                <w:rFonts w:ascii="Times New Roman" w:eastAsiaTheme="minorEastAsia" w:hAnsi="Times New Roman"/>
                <w:sz w:val="24"/>
                <w:szCs w:val="24"/>
              </w:rPr>
            </w:pPr>
            <w:r>
              <w:rPr>
                <w:rFonts w:ascii="Times New Roman" w:eastAsiaTheme="minorEastAsia" w:hAnsi="Times New Roman"/>
                <w:sz w:val="24"/>
                <w:szCs w:val="24"/>
              </w:rPr>
              <w:t>p</w:t>
            </w:r>
            <w:r w:rsidR="00A56812" w:rsidRPr="009A55BC">
              <w:rPr>
                <w:rFonts w:ascii="Times New Roman" w:eastAsiaTheme="minorEastAsia" w:hAnsi="Times New Roman"/>
                <w:sz w:val="24"/>
                <w:szCs w:val="24"/>
              </w:rPr>
              <w:t>acientu sūdzību</w:t>
            </w:r>
            <w:r w:rsidR="00AF26BC">
              <w:rPr>
                <w:rFonts w:ascii="Times New Roman" w:eastAsiaTheme="minorEastAsia" w:hAnsi="Times New Roman"/>
                <w:sz w:val="24"/>
                <w:szCs w:val="24"/>
              </w:rPr>
              <w:t xml:space="preserve"> </w:t>
            </w:r>
            <w:r w:rsidR="00A56812" w:rsidRPr="009A55BC">
              <w:rPr>
                <w:rFonts w:ascii="Times New Roman" w:eastAsiaTheme="minorEastAsia" w:hAnsi="Times New Roman"/>
                <w:sz w:val="24"/>
                <w:szCs w:val="24"/>
              </w:rPr>
              <w:t>skaits par minētajiem pakalpojumiem</w:t>
            </w:r>
            <w:r w:rsidR="00AF26BC">
              <w:rPr>
                <w:rFonts w:ascii="Times New Roman" w:eastAsiaTheme="minorEastAsia" w:hAnsi="Times New Roman"/>
                <w:sz w:val="24"/>
                <w:szCs w:val="24"/>
              </w:rPr>
              <w:t xml:space="preserve"> </w:t>
            </w:r>
            <w:r w:rsidR="00A56812" w:rsidRPr="009A55BC">
              <w:rPr>
                <w:rFonts w:ascii="Times New Roman" w:eastAsiaTheme="minorEastAsia" w:hAnsi="Times New Roman"/>
                <w:sz w:val="24"/>
                <w:szCs w:val="24"/>
              </w:rPr>
              <w:t>/</w:t>
            </w:r>
            <w:r w:rsidR="00AF26BC">
              <w:rPr>
                <w:rFonts w:ascii="Times New Roman" w:eastAsiaTheme="minorEastAsia" w:hAnsi="Times New Roman"/>
                <w:sz w:val="24"/>
                <w:szCs w:val="24"/>
              </w:rPr>
              <w:t xml:space="preserve"> </w:t>
            </w:r>
            <w:r w:rsidR="00A56812" w:rsidRPr="009A55BC">
              <w:rPr>
                <w:rFonts w:ascii="Times New Roman" w:eastAsiaTheme="minorEastAsia" w:hAnsi="Times New Roman"/>
                <w:sz w:val="24"/>
                <w:szCs w:val="24"/>
              </w:rPr>
              <w:t>kopējais</w:t>
            </w:r>
            <w:r w:rsidR="008A340D" w:rsidRPr="009A55BC">
              <w:rPr>
                <w:rFonts w:ascii="Times New Roman" w:eastAsiaTheme="minorEastAsia" w:hAnsi="Times New Roman"/>
                <w:sz w:val="24"/>
                <w:szCs w:val="24"/>
              </w:rPr>
              <w:t xml:space="preserve"> hospitalizēto</w:t>
            </w:r>
            <w:r w:rsidR="00AF26BC">
              <w:rPr>
                <w:rFonts w:ascii="Times New Roman" w:eastAsiaTheme="minorEastAsia" w:hAnsi="Times New Roman"/>
                <w:sz w:val="24"/>
                <w:szCs w:val="24"/>
              </w:rPr>
              <w:t xml:space="preserve"> ķirurģiski ārstēto</w:t>
            </w:r>
            <w:r w:rsidR="00AF26BC" w:rsidRPr="003112BE">
              <w:rPr>
                <w:rFonts w:ascii="Times New Roman" w:eastAsiaTheme="minorEastAsia" w:hAnsi="Times New Roman"/>
                <w:sz w:val="24"/>
                <w:szCs w:val="24"/>
                <w:vertAlign w:val="superscript"/>
              </w:rPr>
              <w:t>1</w:t>
            </w:r>
            <w:r w:rsidR="00A56812" w:rsidRPr="009A55BC">
              <w:rPr>
                <w:rFonts w:ascii="Times New Roman" w:eastAsiaTheme="minorEastAsia" w:hAnsi="Times New Roman"/>
                <w:sz w:val="24"/>
                <w:szCs w:val="24"/>
              </w:rPr>
              <w:t xml:space="preserve"> </w:t>
            </w:r>
            <w:r w:rsidR="00AF26BC">
              <w:rPr>
                <w:rFonts w:ascii="Times New Roman" w:eastAsiaTheme="minorEastAsia" w:hAnsi="Times New Roman"/>
                <w:sz w:val="24"/>
                <w:szCs w:val="24"/>
              </w:rPr>
              <w:t xml:space="preserve">unikālo </w:t>
            </w:r>
            <w:r w:rsidR="008A340D" w:rsidRPr="009A55BC">
              <w:rPr>
                <w:rFonts w:ascii="Times New Roman" w:eastAsiaTheme="minorEastAsia" w:hAnsi="Times New Roman"/>
                <w:sz w:val="24"/>
                <w:szCs w:val="24"/>
              </w:rPr>
              <w:t>pacientu</w:t>
            </w:r>
            <w:r w:rsidR="00AF26BC">
              <w:rPr>
                <w:rFonts w:ascii="Times New Roman" w:eastAsiaTheme="minorEastAsia" w:hAnsi="Times New Roman"/>
                <w:sz w:val="24"/>
                <w:szCs w:val="24"/>
              </w:rPr>
              <w:t xml:space="preserve"> </w:t>
            </w:r>
            <w:r w:rsidR="008A340D" w:rsidRPr="009A55BC">
              <w:rPr>
                <w:rFonts w:ascii="Times New Roman" w:eastAsiaTheme="minorEastAsia" w:hAnsi="Times New Roman"/>
                <w:sz w:val="24"/>
                <w:szCs w:val="24"/>
              </w:rPr>
              <w:t>skaits</w:t>
            </w:r>
            <w:r w:rsidR="00A56812" w:rsidRPr="009A55BC">
              <w:rPr>
                <w:rFonts w:ascii="Times New Roman" w:eastAsiaTheme="minorEastAsia" w:hAnsi="Times New Roman"/>
                <w:sz w:val="24"/>
                <w:szCs w:val="24"/>
              </w:rPr>
              <w:t xml:space="preserve"> </w:t>
            </w:r>
            <w:r w:rsidR="008A340D" w:rsidRPr="009A55BC">
              <w:rPr>
                <w:rFonts w:ascii="Times New Roman" w:eastAsiaTheme="minorEastAsia" w:hAnsi="Times New Roman"/>
                <w:sz w:val="24"/>
                <w:szCs w:val="24"/>
              </w:rPr>
              <w:t xml:space="preserve">stacionārajā ārstniecības </w:t>
            </w:r>
            <w:r w:rsidR="00A56812" w:rsidRPr="009A55BC">
              <w:rPr>
                <w:rFonts w:ascii="Times New Roman" w:eastAsiaTheme="minorEastAsia" w:hAnsi="Times New Roman"/>
                <w:sz w:val="24"/>
                <w:szCs w:val="24"/>
              </w:rPr>
              <w:t>iestādē</w:t>
            </w:r>
            <w:r w:rsidR="008A340D" w:rsidRPr="009A55BC">
              <w:rPr>
                <w:rFonts w:ascii="Times New Roman" w:eastAsiaTheme="minorEastAsia" w:hAnsi="Times New Roman"/>
                <w:sz w:val="24"/>
                <w:szCs w:val="24"/>
              </w:rPr>
              <w:t xml:space="preserve"> ar pamata izrakstīšanās diagnozi pēc SSK-10: C00–C97, D00–D09, D37–D48 un D61</w:t>
            </w:r>
            <w:r w:rsidR="00AF26BC">
              <w:rPr>
                <w:rFonts w:ascii="Times New Roman" w:eastAsiaTheme="minorEastAsia" w:hAnsi="Times New Roman"/>
                <w:sz w:val="24"/>
                <w:szCs w:val="24"/>
              </w:rPr>
              <w:t xml:space="preserve">, </w:t>
            </w:r>
            <w:r w:rsidR="00A56812" w:rsidRPr="009A55BC">
              <w:rPr>
                <w:rFonts w:ascii="Times New Roman" w:eastAsiaTheme="minorEastAsia" w:hAnsi="Times New Roman"/>
                <w:sz w:val="24"/>
                <w:szCs w:val="24"/>
              </w:rPr>
              <w:t>izteikts</w:t>
            </w:r>
            <w:r w:rsidR="00AF26BC">
              <w:rPr>
                <w:rFonts w:ascii="Times New Roman" w:eastAsiaTheme="minorEastAsia" w:hAnsi="Times New Roman"/>
                <w:sz w:val="24"/>
                <w:szCs w:val="24"/>
              </w:rPr>
              <w:t xml:space="preserve"> </w:t>
            </w:r>
            <w:r w:rsidR="00A56812" w:rsidRPr="009A55BC">
              <w:rPr>
                <w:rFonts w:ascii="Times New Roman" w:eastAsiaTheme="minorEastAsia" w:hAnsi="Times New Roman"/>
                <w:sz w:val="24"/>
                <w:szCs w:val="24"/>
              </w:rPr>
              <w:t>%</w:t>
            </w:r>
            <w:r w:rsidR="00AF26BC">
              <w:rPr>
                <w:rFonts w:ascii="Times New Roman" w:eastAsiaTheme="minorEastAsia" w:hAnsi="Times New Roman"/>
                <w:sz w:val="24"/>
                <w:szCs w:val="24"/>
                <w:vertAlign w:val="superscript"/>
              </w:rPr>
              <w:t>2</w:t>
            </w:r>
          </w:p>
          <w:p w14:paraId="6BEB682D" w14:textId="34546C9D" w:rsidR="00AF26BC" w:rsidRPr="003112BE" w:rsidRDefault="00A56812" w:rsidP="009A55BC">
            <w:pPr>
              <w:pStyle w:val="ListParagraph"/>
              <w:spacing w:line="240" w:lineRule="auto"/>
              <w:ind w:left="0"/>
              <w:jc w:val="both"/>
              <w:rPr>
                <w:rFonts w:ascii="Times New Roman" w:eastAsia="Times New Roman" w:hAnsi="Times New Roman"/>
                <w:color w:val="000000"/>
                <w:sz w:val="24"/>
                <w:szCs w:val="24"/>
                <w:lang w:eastAsia="lv-LV"/>
              </w:rPr>
            </w:pPr>
            <w:r w:rsidRPr="009A55BC">
              <w:rPr>
                <w:rFonts w:ascii="Times New Roman" w:eastAsia="Times New Roman" w:hAnsi="Times New Roman"/>
                <w:color w:val="000000"/>
                <w:sz w:val="24"/>
                <w:szCs w:val="24"/>
                <w:vertAlign w:val="superscript"/>
                <w:lang w:eastAsia="lv-LV"/>
              </w:rPr>
              <w:t>1</w:t>
            </w:r>
            <w:r w:rsidR="00AF26BC">
              <w:rPr>
                <w:rFonts w:ascii="Times New Roman" w:eastAsia="Times New Roman" w:hAnsi="Times New Roman"/>
                <w:color w:val="000000"/>
                <w:sz w:val="24"/>
                <w:szCs w:val="24"/>
                <w:lang w:eastAsia="lv-LV"/>
              </w:rPr>
              <w:t xml:space="preserve"> Pacienti, kam veiktas 1. pielikumā norādītās NCSP manipulācijas.</w:t>
            </w:r>
          </w:p>
          <w:p w14:paraId="35699BBC" w14:textId="1A301238" w:rsidR="00A56812" w:rsidRPr="009A55BC" w:rsidRDefault="00AF26BC" w:rsidP="009A55BC">
            <w:pPr>
              <w:pStyle w:val="ListParagraph"/>
              <w:spacing w:line="240" w:lineRule="auto"/>
              <w:ind w:left="0"/>
              <w:jc w:val="both"/>
              <w:rPr>
                <w:rFonts w:ascii="Times New Roman" w:hAnsi="Times New Roman"/>
                <w:sz w:val="24"/>
                <w:szCs w:val="24"/>
              </w:rPr>
            </w:pPr>
            <w:r w:rsidRPr="003112BE">
              <w:rPr>
                <w:rFonts w:ascii="Times New Roman" w:eastAsia="Times New Roman" w:hAnsi="Times New Roman"/>
                <w:color w:val="000000"/>
                <w:sz w:val="24"/>
                <w:szCs w:val="24"/>
                <w:vertAlign w:val="superscript"/>
                <w:lang w:eastAsia="lv-LV"/>
              </w:rPr>
              <w:t>2</w:t>
            </w:r>
            <w:r>
              <w:rPr>
                <w:rFonts w:ascii="Times New Roman" w:eastAsia="Times New Roman" w:hAnsi="Times New Roman"/>
                <w:color w:val="000000"/>
                <w:sz w:val="24"/>
                <w:szCs w:val="24"/>
                <w:lang w:eastAsia="lv-LV"/>
              </w:rPr>
              <w:t xml:space="preserve"> </w:t>
            </w:r>
            <w:r w:rsidR="00A56812" w:rsidRPr="009A55BC">
              <w:rPr>
                <w:rFonts w:ascii="Times New Roman" w:eastAsia="Times New Roman" w:hAnsi="Times New Roman"/>
                <w:color w:val="000000"/>
                <w:sz w:val="24"/>
                <w:szCs w:val="24"/>
                <w:lang w:eastAsia="lv-LV"/>
              </w:rPr>
              <w:t xml:space="preserve">Rezultātā tiek iegūts </w:t>
            </w:r>
            <w:r w:rsidR="00A56812" w:rsidRPr="009A55BC">
              <w:rPr>
                <w:rFonts w:ascii="Times New Roman" w:hAnsi="Times New Roman"/>
                <w:sz w:val="24"/>
                <w:szCs w:val="24"/>
              </w:rPr>
              <w:t xml:space="preserve">sūdzību procentuālais īpatsvars, kurš pēc </w:t>
            </w:r>
            <w:r w:rsidR="008A340D" w:rsidRPr="009A55BC">
              <w:rPr>
                <w:rFonts w:ascii="Times New Roman" w:hAnsi="Times New Roman"/>
                <w:sz w:val="24"/>
                <w:szCs w:val="24"/>
              </w:rPr>
              <w:t>5</w:t>
            </w:r>
            <w:r w:rsidR="00A56812" w:rsidRPr="009A55BC">
              <w:rPr>
                <w:rFonts w:ascii="Times New Roman" w:hAnsi="Times New Roman"/>
                <w:sz w:val="24"/>
                <w:szCs w:val="24"/>
              </w:rPr>
              <w:t>.</w:t>
            </w:r>
            <w:r w:rsidR="00157DD5" w:rsidRPr="009A55BC">
              <w:rPr>
                <w:rFonts w:ascii="Times New Roman" w:hAnsi="Times New Roman"/>
                <w:sz w:val="24"/>
                <w:szCs w:val="24"/>
              </w:rPr>
              <w:t>5</w:t>
            </w:r>
            <w:r w:rsidR="00A56812" w:rsidRPr="009A55BC">
              <w:rPr>
                <w:rFonts w:ascii="Times New Roman" w:hAnsi="Times New Roman"/>
                <w:sz w:val="24"/>
                <w:szCs w:val="24"/>
              </w:rPr>
              <w:t>. punkta mērķa rādītāja vērtējams kā pieņemams, uzraugāms vai nepieņemams</w:t>
            </w:r>
            <w:r>
              <w:rPr>
                <w:rFonts w:ascii="Times New Roman" w:hAnsi="Times New Roman"/>
                <w:sz w:val="24"/>
                <w:szCs w:val="24"/>
              </w:rPr>
              <w:t>.</w:t>
            </w:r>
          </w:p>
        </w:tc>
      </w:tr>
    </w:tbl>
    <w:p w14:paraId="5C930CF3" w14:textId="77777777" w:rsidR="009716B9" w:rsidRPr="009A55BC" w:rsidRDefault="009716B9" w:rsidP="009A55BC">
      <w:pPr>
        <w:pStyle w:val="ListParagraph"/>
        <w:spacing w:after="0" w:line="240" w:lineRule="auto"/>
        <w:ind w:left="0"/>
        <w:rPr>
          <w:rFonts w:ascii="Times New Roman" w:hAnsi="Times New Roman"/>
          <w:sz w:val="24"/>
          <w:szCs w:val="24"/>
        </w:rPr>
      </w:pPr>
    </w:p>
    <w:p w14:paraId="190C55DC" w14:textId="43B1D404" w:rsidR="00930B46" w:rsidRPr="009A55BC" w:rsidRDefault="009E325F" w:rsidP="009A55BC">
      <w:pPr>
        <w:pStyle w:val="ListParagraph"/>
        <w:spacing w:after="0" w:line="240" w:lineRule="auto"/>
        <w:ind w:left="0"/>
        <w:jc w:val="both"/>
        <w:rPr>
          <w:rFonts w:ascii="Times New Roman" w:hAnsi="Times New Roman"/>
          <w:sz w:val="24"/>
          <w:szCs w:val="24"/>
        </w:rPr>
      </w:pPr>
      <w:r w:rsidRPr="009A55BC">
        <w:rPr>
          <w:rFonts w:ascii="Times New Roman" w:hAnsi="Times New Roman"/>
          <w:sz w:val="24"/>
          <w:szCs w:val="24"/>
        </w:rPr>
        <w:t>4</w:t>
      </w:r>
      <w:r w:rsidR="009716B9" w:rsidRPr="009A55BC">
        <w:rPr>
          <w:rFonts w:ascii="Times New Roman" w:hAnsi="Times New Roman"/>
          <w:sz w:val="24"/>
          <w:szCs w:val="24"/>
        </w:rPr>
        <w:t xml:space="preserve">. </w:t>
      </w:r>
      <w:r w:rsidR="00DD47B9" w:rsidRPr="009A55BC">
        <w:rPr>
          <w:rFonts w:ascii="Times New Roman" w:hAnsi="Times New Roman"/>
          <w:sz w:val="24"/>
          <w:szCs w:val="24"/>
        </w:rPr>
        <w:t xml:space="preserve">Ārstniecības iestādēm, kuras papildus jau sniegtajiem plānveida stacionārās onkoloģijas ārstēšanas pakalpojumiem iegūst tiesības paplašināt </w:t>
      </w:r>
      <w:r w:rsidR="009716B9" w:rsidRPr="009A55BC">
        <w:rPr>
          <w:rFonts w:ascii="Times New Roman" w:hAnsi="Times New Roman"/>
          <w:sz w:val="24"/>
          <w:szCs w:val="24"/>
        </w:rPr>
        <w:t>diagnožu</w:t>
      </w:r>
      <w:r w:rsidR="00903ACE" w:rsidRPr="009A55BC">
        <w:rPr>
          <w:rFonts w:ascii="Times New Roman" w:hAnsi="Times New Roman"/>
          <w:sz w:val="24"/>
          <w:szCs w:val="24"/>
        </w:rPr>
        <w:t xml:space="preserve"> skaitu, pirmos divus gadus kritēriju vērtēšana tiek veikta tāpat kā pārējiem pakalpojuma sniedzējiem, taču netiek uz tā pamata grozīts vai pārtraukts līgums</w:t>
      </w:r>
      <w:r w:rsidR="00AF560C">
        <w:rPr>
          <w:rFonts w:ascii="Times New Roman" w:hAnsi="Times New Roman"/>
          <w:sz w:val="24"/>
          <w:szCs w:val="24"/>
        </w:rPr>
        <w:t xml:space="preserve"> saskaņā ar šīs kārtības 1. punktu.</w:t>
      </w:r>
    </w:p>
    <w:p w14:paraId="2872A144" w14:textId="5B17FD4A" w:rsidR="00A8799A" w:rsidRDefault="00A8799A">
      <w:pPr>
        <w:spacing w:line="259" w:lineRule="auto"/>
        <w:rPr>
          <w:rFonts w:ascii="Times New Roman" w:hAnsi="Times New Roman"/>
          <w:sz w:val="24"/>
          <w:szCs w:val="24"/>
        </w:rPr>
      </w:pPr>
      <w:r>
        <w:rPr>
          <w:rFonts w:ascii="Times New Roman" w:hAnsi="Times New Roman"/>
          <w:sz w:val="24"/>
          <w:szCs w:val="24"/>
        </w:rPr>
        <w:br w:type="page"/>
      </w:r>
    </w:p>
    <w:p w14:paraId="09469731" w14:textId="0595A60A" w:rsidR="00930B46" w:rsidRPr="009A55BC" w:rsidRDefault="009E325F" w:rsidP="009A55BC">
      <w:pPr>
        <w:spacing w:after="0" w:line="240" w:lineRule="auto"/>
        <w:rPr>
          <w:rFonts w:ascii="Times New Roman" w:hAnsi="Times New Roman"/>
          <w:sz w:val="24"/>
          <w:szCs w:val="24"/>
        </w:rPr>
      </w:pPr>
      <w:r w:rsidRPr="009A55BC">
        <w:rPr>
          <w:rFonts w:ascii="Times New Roman" w:hAnsi="Times New Roman"/>
          <w:sz w:val="24"/>
          <w:szCs w:val="24"/>
        </w:rPr>
        <w:lastRenderedPageBreak/>
        <w:t xml:space="preserve">5. </w:t>
      </w:r>
      <w:r w:rsidR="00930B46" w:rsidRPr="009A55BC">
        <w:rPr>
          <w:rFonts w:ascii="Times New Roman" w:hAnsi="Times New Roman"/>
          <w:sz w:val="24"/>
          <w:szCs w:val="24"/>
        </w:rPr>
        <w:t>Kritēriju robežvērtības:</w:t>
      </w:r>
    </w:p>
    <w:p w14:paraId="4F02461A" w14:textId="77777777" w:rsidR="009A55BC" w:rsidRPr="009A55BC" w:rsidRDefault="009A55BC" w:rsidP="009A55BC">
      <w:pPr>
        <w:spacing w:after="0" w:line="240" w:lineRule="auto"/>
        <w:rPr>
          <w:rFonts w:ascii="Times New Roman" w:hAnsi="Times New Roman"/>
          <w:b/>
          <w:sz w:val="24"/>
          <w:szCs w:val="24"/>
        </w:rPr>
      </w:pPr>
    </w:p>
    <w:tbl>
      <w:tblPr>
        <w:tblStyle w:val="TableGrid1"/>
        <w:tblW w:w="10343" w:type="dxa"/>
        <w:jc w:val="center"/>
        <w:tblLayout w:type="fixed"/>
        <w:tblLook w:val="04A0" w:firstRow="1" w:lastRow="0" w:firstColumn="1" w:lastColumn="0" w:noHBand="0" w:noVBand="1"/>
      </w:tblPr>
      <w:tblGrid>
        <w:gridCol w:w="988"/>
        <w:gridCol w:w="3402"/>
        <w:gridCol w:w="1984"/>
        <w:gridCol w:w="1985"/>
        <w:gridCol w:w="1984"/>
      </w:tblGrid>
      <w:tr w:rsidR="00E46133" w:rsidRPr="009A55BC" w14:paraId="1FA5FD0E" w14:textId="77777777" w:rsidTr="003112BE">
        <w:trPr>
          <w:jc w:val="center"/>
        </w:trPr>
        <w:tc>
          <w:tcPr>
            <w:tcW w:w="988" w:type="dxa"/>
            <w:vMerge w:val="restart"/>
            <w:shd w:val="clear" w:color="auto" w:fill="E7E6E6" w:themeFill="background2"/>
            <w:vAlign w:val="center"/>
          </w:tcPr>
          <w:p w14:paraId="7422E41A" w14:textId="140675CA" w:rsidR="00E46133" w:rsidRPr="009A55BC" w:rsidRDefault="00E46133" w:rsidP="00653C0C">
            <w:pPr>
              <w:spacing w:line="240" w:lineRule="auto"/>
              <w:contextualSpacing/>
              <w:jc w:val="center"/>
              <w:rPr>
                <w:rFonts w:ascii="Times New Roman" w:hAnsi="Times New Roman"/>
                <w:sz w:val="24"/>
                <w:szCs w:val="24"/>
              </w:rPr>
            </w:pPr>
            <w:r w:rsidRPr="009A55BC">
              <w:rPr>
                <w:rFonts w:ascii="Times New Roman" w:hAnsi="Times New Roman"/>
                <w:sz w:val="24"/>
                <w:szCs w:val="24"/>
              </w:rPr>
              <w:t>N.p.k.</w:t>
            </w:r>
          </w:p>
        </w:tc>
        <w:tc>
          <w:tcPr>
            <w:tcW w:w="3402" w:type="dxa"/>
            <w:vMerge w:val="restart"/>
            <w:shd w:val="clear" w:color="auto" w:fill="E7E6E6" w:themeFill="background2"/>
            <w:vAlign w:val="center"/>
          </w:tcPr>
          <w:p w14:paraId="7995A736" w14:textId="77777777" w:rsidR="00E46133" w:rsidRPr="009A55BC" w:rsidRDefault="00E46133" w:rsidP="00653C0C">
            <w:pPr>
              <w:spacing w:line="240" w:lineRule="auto"/>
              <w:contextualSpacing/>
              <w:jc w:val="center"/>
              <w:rPr>
                <w:rFonts w:ascii="Times New Roman" w:hAnsi="Times New Roman"/>
                <w:sz w:val="24"/>
                <w:szCs w:val="24"/>
              </w:rPr>
            </w:pPr>
            <w:r w:rsidRPr="009A55BC">
              <w:rPr>
                <w:rFonts w:ascii="Times New Roman" w:hAnsi="Times New Roman"/>
                <w:sz w:val="24"/>
                <w:szCs w:val="24"/>
              </w:rPr>
              <w:t>Kritērija nosaukums</w:t>
            </w:r>
          </w:p>
        </w:tc>
        <w:tc>
          <w:tcPr>
            <w:tcW w:w="5953" w:type="dxa"/>
            <w:gridSpan w:val="3"/>
            <w:shd w:val="clear" w:color="auto" w:fill="E7E6E6" w:themeFill="background2"/>
          </w:tcPr>
          <w:p w14:paraId="7D3CC6DD" w14:textId="77777777" w:rsidR="00E46133" w:rsidRPr="009A55BC" w:rsidRDefault="00E46133"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Mērķa rādītāji</w:t>
            </w:r>
          </w:p>
        </w:tc>
      </w:tr>
      <w:tr w:rsidR="00653C0C" w:rsidRPr="009A55BC" w14:paraId="03D4739F" w14:textId="77777777" w:rsidTr="00653C0C">
        <w:trPr>
          <w:trHeight w:val="335"/>
          <w:jc w:val="center"/>
        </w:trPr>
        <w:tc>
          <w:tcPr>
            <w:tcW w:w="988" w:type="dxa"/>
            <w:vMerge/>
            <w:shd w:val="clear" w:color="auto" w:fill="E7E6E6" w:themeFill="background2"/>
          </w:tcPr>
          <w:p w14:paraId="3DE9C3CC" w14:textId="77777777" w:rsidR="00A8799A" w:rsidRPr="009A55BC" w:rsidRDefault="00A8799A" w:rsidP="009A55BC">
            <w:pPr>
              <w:spacing w:line="240" w:lineRule="auto"/>
              <w:contextualSpacing/>
              <w:rPr>
                <w:rFonts w:ascii="Times New Roman" w:hAnsi="Times New Roman"/>
                <w:sz w:val="24"/>
                <w:szCs w:val="24"/>
              </w:rPr>
            </w:pPr>
          </w:p>
        </w:tc>
        <w:tc>
          <w:tcPr>
            <w:tcW w:w="3402" w:type="dxa"/>
            <w:vMerge/>
            <w:shd w:val="clear" w:color="auto" w:fill="E7E6E6" w:themeFill="background2"/>
          </w:tcPr>
          <w:p w14:paraId="4C094E69" w14:textId="77777777" w:rsidR="00A8799A" w:rsidRPr="009A55BC" w:rsidRDefault="00A8799A" w:rsidP="009A55BC">
            <w:pPr>
              <w:spacing w:line="240" w:lineRule="auto"/>
              <w:contextualSpacing/>
              <w:rPr>
                <w:rFonts w:ascii="Times New Roman" w:hAnsi="Times New Roman"/>
                <w:sz w:val="24"/>
                <w:szCs w:val="24"/>
              </w:rPr>
            </w:pPr>
          </w:p>
        </w:tc>
        <w:tc>
          <w:tcPr>
            <w:tcW w:w="1984" w:type="dxa"/>
            <w:shd w:val="clear" w:color="auto" w:fill="FFCCCC"/>
          </w:tcPr>
          <w:p w14:paraId="1C12022A" w14:textId="22D81093" w:rsidR="00A8799A" w:rsidRPr="009A55BC" w:rsidRDefault="00A8799A" w:rsidP="00A8799A">
            <w:pPr>
              <w:spacing w:line="240" w:lineRule="auto"/>
              <w:contextualSpacing/>
              <w:jc w:val="center"/>
              <w:rPr>
                <w:rFonts w:ascii="Times New Roman" w:hAnsi="Times New Roman"/>
                <w:sz w:val="24"/>
                <w:szCs w:val="24"/>
              </w:rPr>
            </w:pPr>
            <w:r w:rsidRPr="009A55BC">
              <w:rPr>
                <w:rFonts w:ascii="Times New Roman" w:hAnsi="Times New Roman"/>
                <w:sz w:val="24"/>
                <w:szCs w:val="24"/>
              </w:rPr>
              <w:t>Nepieņemams</w:t>
            </w:r>
          </w:p>
        </w:tc>
        <w:tc>
          <w:tcPr>
            <w:tcW w:w="1985" w:type="dxa"/>
            <w:shd w:val="clear" w:color="auto" w:fill="FFF2CC" w:themeFill="accent4" w:themeFillTint="33"/>
          </w:tcPr>
          <w:p w14:paraId="79E9CDEF" w14:textId="79DAE093" w:rsidR="00A8799A" w:rsidRPr="009A55BC" w:rsidRDefault="00A8799A" w:rsidP="00A8799A">
            <w:pPr>
              <w:spacing w:line="240" w:lineRule="auto"/>
              <w:contextualSpacing/>
              <w:jc w:val="center"/>
              <w:rPr>
                <w:rFonts w:ascii="Times New Roman" w:hAnsi="Times New Roman"/>
                <w:sz w:val="24"/>
                <w:szCs w:val="24"/>
              </w:rPr>
            </w:pPr>
            <w:r w:rsidRPr="009A55BC">
              <w:rPr>
                <w:rFonts w:ascii="Times New Roman" w:hAnsi="Times New Roman"/>
                <w:sz w:val="24"/>
                <w:szCs w:val="24"/>
              </w:rPr>
              <w:t>Uzraugāms</w:t>
            </w:r>
          </w:p>
        </w:tc>
        <w:tc>
          <w:tcPr>
            <w:tcW w:w="1984" w:type="dxa"/>
            <w:shd w:val="clear" w:color="auto" w:fill="E2EFD9" w:themeFill="accent6" w:themeFillTint="33"/>
          </w:tcPr>
          <w:p w14:paraId="198E515F" w14:textId="763D55ED" w:rsidR="00A8799A" w:rsidRPr="009A55BC" w:rsidRDefault="00A8799A" w:rsidP="00A8799A">
            <w:pPr>
              <w:spacing w:line="240" w:lineRule="auto"/>
              <w:contextualSpacing/>
              <w:jc w:val="center"/>
              <w:rPr>
                <w:rFonts w:ascii="Times New Roman" w:hAnsi="Times New Roman"/>
                <w:sz w:val="24"/>
                <w:szCs w:val="24"/>
              </w:rPr>
            </w:pPr>
            <w:r w:rsidRPr="009A55BC">
              <w:rPr>
                <w:rFonts w:ascii="Times New Roman" w:hAnsi="Times New Roman"/>
                <w:sz w:val="24"/>
                <w:szCs w:val="24"/>
              </w:rPr>
              <w:t>Pieņemams</w:t>
            </w:r>
          </w:p>
        </w:tc>
      </w:tr>
      <w:tr w:rsidR="00653C0C" w:rsidRPr="009A55BC" w14:paraId="75FADA97" w14:textId="77777777" w:rsidTr="003112BE">
        <w:trPr>
          <w:jc w:val="center"/>
        </w:trPr>
        <w:tc>
          <w:tcPr>
            <w:tcW w:w="988" w:type="dxa"/>
          </w:tcPr>
          <w:p w14:paraId="3AE51B7D" w14:textId="452BE613" w:rsidR="00A8799A" w:rsidRPr="009A55BC" w:rsidRDefault="00A8799A" w:rsidP="009A55BC">
            <w:pPr>
              <w:spacing w:line="240" w:lineRule="auto"/>
              <w:contextualSpacing/>
              <w:rPr>
                <w:rFonts w:ascii="Times New Roman" w:hAnsi="Times New Roman"/>
                <w:sz w:val="24"/>
                <w:szCs w:val="24"/>
              </w:rPr>
            </w:pPr>
            <w:r w:rsidRPr="009A55BC">
              <w:rPr>
                <w:rFonts w:ascii="Times New Roman" w:hAnsi="Times New Roman"/>
                <w:sz w:val="24"/>
                <w:szCs w:val="24"/>
              </w:rPr>
              <w:t>5.1.</w:t>
            </w:r>
          </w:p>
        </w:tc>
        <w:tc>
          <w:tcPr>
            <w:tcW w:w="3402" w:type="dxa"/>
          </w:tcPr>
          <w:p w14:paraId="025C4B61" w14:textId="2A1654D1" w:rsidR="00A8799A" w:rsidRPr="009A55BC" w:rsidRDefault="00A8799A" w:rsidP="005A34F0">
            <w:pPr>
              <w:spacing w:line="240" w:lineRule="auto"/>
              <w:contextualSpacing/>
              <w:rPr>
                <w:rFonts w:ascii="Times New Roman" w:hAnsi="Times New Roman"/>
                <w:sz w:val="24"/>
                <w:szCs w:val="24"/>
              </w:rPr>
            </w:pPr>
            <w:r w:rsidRPr="009A55BC">
              <w:rPr>
                <w:rFonts w:ascii="Times New Roman" w:hAnsi="Times New Roman"/>
                <w:sz w:val="24"/>
                <w:szCs w:val="24"/>
              </w:rPr>
              <w:t>Radikālo mastektomiju procentuālais īpatsvars pacientiem ar</w:t>
            </w:r>
            <w:r>
              <w:rPr>
                <w:rFonts w:ascii="Times New Roman" w:hAnsi="Times New Roman"/>
                <w:sz w:val="24"/>
                <w:szCs w:val="24"/>
              </w:rPr>
              <w:t xml:space="preserve"> pamata izrakstīšanās </w:t>
            </w:r>
            <w:r w:rsidRPr="009A55BC">
              <w:rPr>
                <w:rFonts w:ascii="Times New Roman" w:hAnsi="Times New Roman"/>
                <w:sz w:val="24"/>
                <w:szCs w:val="24"/>
              </w:rPr>
              <w:t>diagnozi C50 agrīnā vēža stadijā (1.-2. stadija)</w:t>
            </w:r>
          </w:p>
        </w:tc>
        <w:tc>
          <w:tcPr>
            <w:tcW w:w="1984" w:type="dxa"/>
            <w:shd w:val="clear" w:color="auto" w:fill="FFFFFF" w:themeFill="background1"/>
            <w:vAlign w:val="center"/>
          </w:tcPr>
          <w:p w14:paraId="6A154488" w14:textId="58923895" w:rsidR="00A8799A" w:rsidRPr="009A55BC" w:rsidRDefault="00A8799A" w:rsidP="00653C0C">
            <w:pPr>
              <w:spacing w:line="240" w:lineRule="auto"/>
              <w:contextualSpacing/>
              <w:jc w:val="center"/>
              <w:rPr>
                <w:rFonts w:ascii="Times New Roman" w:hAnsi="Times New Roman"/>
                <w:sz w:val="24"/>
                <w:szCs w:val="24"/>
              </w:rPr>
            </w:pPr>
            <w:r w:rsidRPr="009A55BC">
              <w:rPr>
                <w:rFonts w:ascii="Times New Roman" w:hAnsi="Times New Roman"/>
                <w:sz w:val="24"/>
                <w:szCs w:val="24"/>
              </w:rPr>
              <w:t>25% un vairāk</w:t>
            </w:r>
          </w:p>
        </w:tc>
        <w:tc>
          <w:tcPr>
            <w:tcW w:w="1985" w:type="dxa"/>
            <w:shd w:val="clear" w:color="auto" w:fill="FFFFFF" w:themeFill="background1"/>
            <w:vAlign w:val="center"/>
          </w:tcPr>
          <w:p w14:paraId="516E375B" w14:textId="319E6311" w:rsidR="00A8799A" w:rsidRPr="009A55BC" w:rsidRDefault="00A8799A" w:rsidP="00653C0C">
            <w:pPr>
              <w:spacing w:line="240" w:lineRule="auto"/>
              <w:contextualSpacing/>
              <w:jc w:val="center"/>
              <w:rPr>
                <w:rFonts w:ascii="Times New Roman" w:hAnsi="Times New Roman"/>
                <w:sz w:val="24"/>
                <w:szCs w:val="24"/>
              </w:rPr>
            </w:pPr>
            <w:r w:rsidRPr="009A55BC">
              <w:rPr>
                <w:rFonts w:ascii="Times New Roman" w:hAnsi="Times New Roman"/>
                <w:sz w:val="24"/>
                <w:szCs w:val="24"/>
              </w:rPr>
              <w:t>16%</w:t>
            </w:r>
            <w:r>
              <w:rPr>
                <w:rFonts w:ascii="Times New Roman" w:hAnsi="Times New Roman"/>
                <w:sz w:val="24"/>
                <w:szCs w:val="24"/>
              </w:rPr>
              <w:t xml:space="preserve"> </w:t>
            </w:r>
            <w:r w:rsidRPr="009A55BC">
              <w:rPr>
                <w:rFonts w:ascii="Times New Roman" w:hAnsi="Times New Roman"/>
                <w:sz w:val="24"/>
                <w:szCs w:val="24"/>
              </w:rPr>
              <w:t>-</w:t>
            </w:r>
            <w:r>
              <w:rPr>
                <w:rFonts w:ascii="Times New Roman" w:hAnsi="Times New Roman"/>
                <w:sz w:val="24"/>
                <w:szCs w:val="24"/>
              </w:rPr>
              <w:t xml:space="preserve"> </w:t>
            </w:r>
            <w:r w:rsidRPr="009A55BC">
              <w:rPr>
                <w:rFonts w:ascii="Times New Roman" w:hAnsi="Times New Roman"/>
                <w:sz w:val="24"/>
                <w:szCs w:val="24"/>
              </w:rPr>
              <w:t>24%</w:t>
            </w:r>
          </w:p>
        </w:tc>
        <w:tc>
          <w:tcPr>
            <w:tcW w:w="1984" w:type="dxa"/>
            <w:shd w:val="clear" w:color="auto" w:fill="FFFFFF" w:themeFill="background1"/>
            <w:vAlign w:val="center"/>
          </w:tcPr>
          <w:p w14:paraId="50BCCC6A" w14:textId="7FEEEFF0" w:rsidR="00A8799A" w:rsidRPr="009A55BC" w:rsidRDefault="00A8799A" w:rsidP="00653C0C">
            <w:pPr>
              <w:spacing w:line="240" w:lineRule="auto"/>
              <w:contextualSpacing/>
              <w:jc w:val="center"/>
              <w:rPr>
                <w:rFonts w:ascii="Times New Roman" w:hAnsi="Times New Roman"/>
                <w:sz w:val="24"/>
                <w:szCs w:val="24"/>
              </w:rPr>
            </w:pPr>
            <w:r w:rsidRPr="009A55BC">
              <w:rPr>
                <w:rFonts w:ascii="Times New Roman" w:hAnsi="Times New Roman"/>
                <w:sz w:val="24"/>
                <w:szCs w:val="24"/>
              </w:rPr>
              <w:t>līdz 15%</w:t>
            </w:r>
          </w:p>
        </w:tc>
      </w:tr>
      <w:tr w:rsidR="00653C0C" w:rsidRPr="009A55BC" w14:paraId="4269DDD5" w14:textId="77777777" w:rsidTr="003112BE">
        <w:trPr>
          <w:jc w:val="center"/>
        </w:trPr>
        <w:tc>
          <w:tcPr>
            <w:tcW w:w="988" w:type="dxa"/>
          </w:tcPr>
          <w:p w14:paraId="33A0DC20" w14:textId="7B8BFF5B" w:rsidR="00A8799A" w:rsidRPr="009A55BC" w:rsidRDefault="00A8799A"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5.2.</w:t>
            </w:r>
          </w:p>
        </w:tc>
        <w:tc>
          <w:tcPr>
            <w:tcW w:w="3402" w:type="dxa"/>
          </w:tcPr>
          <w:p w14:paraId="3D298879" w14:textId="6A1AD5F8" w:rsidR="00A8799A" w:rsidRPr="009A55BC" w:rsidRDefault="00A8799A" w:rsidP="005A34F0">
            <w:pPr>
              <w:pStyle w:val="ListParagraph"/>
              <w:spacing w:line="240" w:lineRule="auto"/>
              <w:ind w:left="0"/>
              <w:rPr>
                <w:rFonts w:ascii="Times New Roman" w:hAnsi="Times New Roman"/>
                <w:color w:val="FF0000"/>
                <w:sz w:val="24"/>
                <w:szCs w:val="24"/>
              </w:rPr>
            </w:pPr>
            <w:r w:rsidRPr="009A55BC">
              <w:rPr>
                <w:rFonts w:ascii="Times New Roman" w:hAnsi="Times New Roman"/>
                <w:sz w:val="24"/>
                <w:szCs w:val="24"/>
              </w:rPr>
              <w:t xml:space="preserve">Ārstniecības iestādē veikto stacionāro plānveida un neatliekamo onkoloģisko operāciju, kuras veic ārstniecības personas, kuras izpilda 1.pielikumā noteiktos apjomus, skaita procentuālais īpatsvars no visām ārstniecības iestādē veiktajām stacionārajām plānveida un neatliekamām onkoloģiskām operācijām dalījumā pa </w:t>
            </w:r>
            <w:r>
              <w:rPr>
                <w:rFonts w:ascii="Times New Roman" w:hAnsi="Times New Roman"/>
                <w:sz w:val="24"/>
                <w:szCs w:val="24"/>
              </w:rPr>
              <w:t xml:space="preserve">pamata izrakstīšanās </w:t>
            </w:r>
            <w:r w:rsidRPr="009A55BC">
              <w:rPr>
                <w:rFonts w:ascii="Times New Roman" w:hAnsi="Times New Roman"/>
                <w:sz w:val="24"/>
                <w:szCs w:val="24"/>
              </w:rPr>
              <w:t xml:space="preserve">diagnozēm, atbilstoši 1.pielikumam   </w:t>
            </w:r>
          </w:p>
        </w:tc>
        <w:tc>
          <w:tcPr>
            <w:tcW w:w="1984" w:type="dxa"/>
            <w:shd w:val="clear" w:color="auto" w:fill="FFFFFF" w:themeFill="background1"/>
            <w:vAlign w:val="center"/>
          </w:tcPr>
          <w:p w14:paraId="6EF172AA" w14:textId="2823AF88" w:rsidR="00A8799A" w:rsidRPr="009A55BC" w:rsidRDefault="00A8799A" w:rsidP="00653C0C">
            <w:pPr>
              <w:spacing w:line="240" w:lineRule="auto"/>
              <w:contextualSpacing/>
              <w:jc w:val="center"/>
              <w:rPr>
                <w:rFonts w:ascii="Times New Roman" w:hAnsi="Times New Roman"/>
                <w:sz w:val="24"/>
                <w:szCs w:val="24"/>
              </w:rPr>
            </w:pPr>
            <w:r w:rsidRPr="009A55BC">
              <w:rPr>
                <w:rFonts w:ascii="Times New Roman" w:hAnsi="Times New Roman"/>
                <w:sz w:val="24"/>
                <w:szCs w:val="24"/>
              </w:rPr>
              <w:t>līdz 59%</w:t>
            </w:r>
          </w:p>
        </w:tc>
        <w:tc>
          <w:tcPr>
            <w:tcW w:w="1985" w:type="dxa"/>
            <w:shd w:val="clear" w:color="auto" w:fill="FFFFFF" w:themeFill="background1"/>
            <w:vAlign w:val="center"/>
          </w:tcPr>
          <w:p w14:paraId="23782A89" w14:textId="092D4195" w:rsidR="00A8799A" w:rsidRPr="009A55BC" w:rsidRDefault="00A8799A" w:rsidP="00653C0C">
            <w:pPr>
              <w:spacing w:line="240" w:lineRule="auto"/>
              <w:contextualSpacing/>
              <w:jc w:val="center"/>
              <w:rPr>
                <w:rFonts w:ascii="Times New Roman" w:hAnsi="Times New Roman"/>
                <w:sz w:val="24"/>
                <w:szCs w:val="24"/>
              </w:rPr>
            </w:pPr>
            <w:r w:rsidRPr="009A55BC">
              <w:rPr>
                <w:rFonts w:ascii="Times New Roman" w:hAnsi="Times New Roman"/>
                <w:sz w:val="24"/>
                <w:szCs w:val="24"/>
              </w:rPr>
              <w:t>60%</w:t>
            </w:r>
            <w:r>
              <w:rPr>
                <w:rFonts w:ascii="Times New Roman" w:hAnsi="Times New Roman"/>
                <w:sz w:val="24"/>
                <w:szCs w:val="24"/>
              </w:rPr>
              <w:t xml:space="preserve"> </w:t>
            </w:r>
            <w:r w:rsidRPr="009A55BC">
              <w:rPr>
                <w:rFonts w:ascii="Times New Roman" w:hAnsi="Times New Roman"/>
                <w:sz w:val="24"/>
                <w:szCs w:val="24"/>
              </w:rPr>
              <w:t>-</w:t>
            </w:r>
            <w:r>
              <w:rPr>
                <w:rFonts w:ascii="Times New Roman" w:hAnsi="Times New Roman"/>
                <w:sz w:val="24"/>
                <w:szCs w:val="24"/>
              </w:rPr>
              <w:t xml:space="preserve"> </w:t>
            </w:r>
            <w:r w:rsidRPr="009A55BC">
              <w:rPr>
                <w:rFonts w:ascii="Times New Roman" w:hAnsi="Times New Roman"/>
                <w:sz w:val="24"/>
                <w:szCs w:val="24"/>
              </w:rPr>
              <w:t>79%</w:t>
            </w:r>
          </w:p>
        </w:tc>
        <w:tc>
          <w:tcPr>
            <w:tcW w:w="1984" w:type="dxa"/>
            <w:shd w:val="clear" w:color="auto" w:fill="FFFFFF" w:themeFill="background1"/>
            <w:vAlign w:val="center"/>
          </w:tcPr>
          <w:p w14:paraId="3E32EAE3" w14:textId="533066F1" w:rsidR="00A8799A" w:rsidRPr="009A55BC" w:rsidRDefault="00A8799A" w:rsidP="00653C0C">
            <w:pPr>
              <w:spacing w:line="240" w:lineRule="auto"/>
              <w:contextualSpacing/>
              <w:jc w:val="center"/>
              <w:rPr>
                <w:rFonts w:ascii="Times New Roman" w:hAnsi="Times New Roman"/>
                <w:sz w:val="24"/>
                <w:szCs w:val="24"/>
              </w:rPr>
            </w:pPr>
            <w:r w:rsidRPr="009A55BC">
              <w:rPr>
                <w:rFonts w:ascii="Times New Roman" w:hAnsi="Times New Roman"/>
                <w:sz w:val="24"/>
                <w:szCs w:val="24"/>
              </w:rPr>
              <w:t>80% un vairāk</w:t>
            </w:r>
          </w:p>
        </w:tc>
      </w:tr>
      <w:tr w:rsidR="00653C0C" w:rsidRPr="009A55BC" w14:paraId="10896A02" w14:textId="77777777" w:rsidTr="003112BE">
        <w:trPr>
          <w:jc w:val="center"/>
        </w:trPr>
        <w:tc>
          <w:tcPr>
            <w:tcW w:w="988" w:type="dxa"/>
          </w:tcPr>
          <w:p w14:paraId="72700646" w14:textId="1B3F2590" w:rsidR="00A8799A" w:rsidRPr="009A55BC" w:rsidRDefault="00A8799A"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5.3.</w:t>
            </w:r>
          </w:p>
        </w:tc>
        <w:tc>
          <w:tcPr>
            <w:tcW w:w="3402" w:type="dxa"/>
          </w:tcPr>
          <w:p w14:paraId="4EAD99B9" w14:textId="02E9FD4D" w:rsidR="00A8799A" w:rsidRPr="009A55BC" w:rsidRDefault="00A8799A" w:rsidP="005A34F0">
            <w:pPr>
              <w:pStyle w:val="ListParagraph"/>
              <w:spacing w:line="240" w:lineRule="auto"/>
              <w:ind w:left="0"/>
              <w:rPr>
                <w:rFonts w:ascii="Times New Roman" w:hAnsi="Times New Roman"/>
                <w:sz w:val="24"/>
                <w:szCs w:val="24"/>
              </w:rPr>
            </w:pPr>
            <w:r w:rsidRPr="009A55BC">
              <w:rPr>
                <w:rFonts w:ascii="Times New Roman" w:hAnsi="Times New Roman"/>
                <w:sz w:val="24"/>
                <w:szCs w:val="24"/>
              </w:rPr>
              <w:t xml:space="preserve">Ķirurģiski ārstēto onkoloģisko plānveida pacientu procentuālais īpatsvars, kuru  stacionārā uzskaites dokumentā norādīta komplikāciju manipulācija (pēc </w:t>
            </w:r>
            <w:proofErr w:type="spellStart"/>
            <w:r w:rsidRPr="009A55BC">
              <w:rPr>
                <w:rFonts w:ascii="Times New Roman" w:hAnsi="Times New Roman"/>
                <w:sz w:val="24"/>
                <w:szCs w:val="24"/>
              </w:rPr>
              <w:t>Clavien</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Dindo</w:t>
            </w:r>
            <w:proofErr w:type="spellEnd"/>
            <w:r w:rsidRPr="009A55BC">
              <w:rPr>
                <w:rFonts w:ascii="Times New Roman" w:hAnsi="Times New Roman"/>
                <w:sz w:val="24"/>
                <w:szCs w:val="24"/>
              </w:rPr>
              <w:t xml:space="preserve"> klasifikācijas sistēmas)</w:t>
            </w:r>
          </w:p>
        </w:tc>
        <w:tc>
          <w:tcPr>
            <w:tcW w:w="1984" w:type="dxa"/>
            <w:vAlign w:val="center"/>
          </w:tcPr>
          <w:p w14:paraId="579FA68E" w14:textId="1DCBAC53" w:rsidR="00A8799A" w:rsidRPr="009A55BC" w:rsidRDefault="00A8799A" w:rsidP="00653C0C">
            <w:pPr>
              <w:spacing w:line="240" w:lineRule="auto"/>
              <w:contextualSpacing/>
              <w:jc w:val="center"/>
              <w:rPr>
                <w:rFonts w:ascii="Times New Roman" w:hAnsi="Times New Roman"/>
                <w:sz w:val="24"/>
                <w:szCs w:val="24"/>
              </w:rPr>
            </w:pPr>
            <w:r w:rsidRPr="009A55BC">
              <w:rPr>
                <w:rFonts w:ascii="Times New Roman" w:hAnsi="Times New Roman"/>
                <w:sz w:val="24"/>
                <w:szCs w:val="24"/>
              </w:rPr>
              <w:t>līdz 70%</w:t>
            </w:r>
          </w:p>
        </w:tc>
        <w:tc>
          <w:tcPr>
            <w:tcW w:w="1985" w:type="dxa"/>
            <w:vAlign w:val="center"/>
          </w:tcPr>
          <w:p w14:paraId="06DE53A4" w14:textId="5A0EAD72" w:rsidR="00A8799A" w:rsidRPr="009A55BC" w:rsidRDefault="00A8799A" w:rsidP="00653C0C">
            <w:pPr>
              <w:spacing w:line="240" w:lineRule="auto"/>
              <w:contextualSpacing/>
              <w:jc w:val="center"/>
              <w:rPr>
                <w:rFonts w:ascii="Times New Roman" w:hAnsi="Times New Roman"/>
                <w:sz w:val="24"/>
                <w:szCs w:val="24"/>
              </w:rPr>
            </w:pPr>
            <w:r w:rsidRPr="009A55BC">
              <w:rPr>
                <w:rFonts w:ascii="Times New Roman" w:hAnsi="Times New Roman"/>
                <w:sz w:val="24"/>
                <w:szCs w:val="24"/>
              </w:rPr>
              <w:t>71% -</w:t>
            </w:r>
            <w:r>
              <w:rPr>
                <w:rFonts w:ascii="Times New Roman" w:hAnsi="Times New Roman"/>
                <w:sz w:val="24"/>
                <w:szCs w:val="24"/>
              </w:rPr>
              <w:t xml:space="preserve"> </w:t>
            </w:r>
            <w:r w:rsidRPr="009A55BC">
              <w:rPr>
                <w:rFonts w:ascii="Times New Roman" w:hAnsi="Times New Roman"/>
                <w:sz w:val="24"/>
                <w:szCs w:val="24"/>
              </w:rPr>
              <w:t>89%</w:t>
            </w:r>
          </w:p>
        </w:tc>
        <w:tc>
          <w:tcPr>
            <w:tcW w:w="1984" w:type="dxa"/>
            <w:vAlign w:val="center"/>
          </w:tcPr>
          <w:p w14:paraId="64B50B8F" w14:textId="2603C9A6" w:rsidR="00A8799A" w:rsidRPr="009A55BC" w:rsidRDefault="00A8799A" w:rsidP="00653C0C">
            <w:pPr>
              <w:spacing w:line="240" w:lineRule="auto"/>
              <w:contextualSpacing/>
              <w:jc w:val="center"/>
              <w:rPr>
                <w:rFonts w:ascii="Times New Roman" w:hAnsi="Times New Roman"/>
                <w:sz w:val="24"/>
                <w:szCs w:val="24"/>
              </w:rPr>
            </w:pPr>
            <w:r w:rsidRPr="009A55BC">
              <w:rPr>
                <w:rFonts w:ascii="Times New Roman" w:hAnsi="Times New Roman"/>
                <w:sz w:val="24"/>
                <w:szCs w:val="24"/>
              </w:rPr>
              <w:t>90% un vairāk</w:t>
            </w:r>
          </w:p>
        </w:tc>
      </w:tr>
      <w:tr w:rsidR="00653C0C" w:rsidRPr="009A55BC" w14:paraId="56AA9AC0" w14:textId="77777777" w:rsidTr="003112BE">
        <w:trPr>
          <w:jc w:val="center"/>
        </w:trPr>
        <w:tc>
          <w:tcPr>
            <w:tcW w:w="988" w:type="dxa"/>
          </w:tcPr>
          <w:p w14:paraId="02B48847" w14:textId="2CBA3BC9" w:rsidR="00A8799A" w:rsidRPr="009A55BC" w:rsidRDefault="00A8799A" w:rsidP="009A55BC">
            <w:pPr>
              <w:spacing w:line="240" w:lineRule="auto"/>
              <w:contextualSpacing/>
              <w:rPr>
                <w:rFonts w:ascii="Times New Roman" w:hAnsi="Times New Roman"/>
                <w:sz w:val="24"/>
                <w:szCs w:val="24"/>
              </w:rPr>
            </w:pPr>
            <w:r w:rsidRPr="009A55BC">
              <w:rPr>
                <w:rFonts w:ascii="Times New Roman" w:hAnsi="Times New Roman"/>
                <w:sz w:val="24"/>
                <w:szCs w:val="24"/>
              </w:rPr>
              <w:t>5.4.</w:t>
            </w:r>
          </w:p>
        </w:tc>
        <w:tc>
          <w:tcPr>
            <w:tcW w:w="3402" w:type="dxa"/>
          </w:tcPr>
          <w:p w14:paraId="62DCAC16" w14:textId="29C42284" w:rsidR="00A8799A" w:rsidRPr="009A55BC" w:rsidRDefault="00A8799A" w:rsidP="005A34F0">
            <w:pPr>
              <w:pStyle w:val="ListParagraph"/>
              <w:spacing w:line="240" w:lineRule="auto"/>
              <w:ind w:left="0"/>
              <w:rPr>
                <w:rFonts w:ascii="Times New Roman" w:hAnsi="Times New Roman"/>
                <w:sz w:val="24"/>
                <w:szCs w:val="24"/>
              </w:rPr>
            </w:pPr>
            <w:r w:rsidRPr="009A55BC">
              <w:rPr>
                <w:rFonts w:ascii="Times New Roman" w:hAnsi="Times New Roman"/>
                <w:sz w:val="24"/>
                <w:szCs w:val="24"/>
              </w:rPr>
              <w:t>Unikālo pacientu skaita procentuālais īpatsvars, kuri saņēmuši plānveida onkoloģisko ķirurģisko ārstēšanu (pie auss, deguna un balsenes, un ādas ļaundabīgajiem audzējiem arī ambulatorie pakalpojumi un dienas stacionāra pakalpojumi)   28 dienu laikā pēc ambulatorā vai stacionārā konsīlija (terapijas taktikas pieņemšana) diagnozēs C00–C97, D00–D09, D37–D48 un D61</w:t>
            </w:r>
          </w:p>
        </w:tc>
        <w:tc>
          <w:tcPr>
            <w:tcW w:w="1984" w:type="dxa"/>
            <w:vAlign w:val="center"/>
          </w:tcPr>
          <w:p w14:paraId="67C4E4B9" w14:textId="34A998E6" w:rsidR="00A8799A" w:rsidRPr="009A55BC" w:rsidRDefault="00A8799A" w:rsidP="00653C0C">
            <w:pPr>
              <w:spacing w:line="240" w:lineRule="auto"/>
              <w:contextualSpacing/>
              <w:jc w:val="center"/>
              <w:rPr>
                <w:rFonts w:ascii="Times New Roman" w:hAnsi="Times New Roman"/>
                <w:sz w:val="24"/>
                <w:szCs w:val="24"/>
              </w:rPr>
            </w:pPr>
            <w:r w:rsidRPr="009A55BC">
              <w:rPr>
                <w:rFonts w:ascii="Times New Roman" w:hAnsi="Times New Roman"/>
                <w:sz w:val="24"/>
                <w:szCs w:val="24"/>
              </w:rPr>
              <w:t>līdz 70%</w:t>
            </w:r>
          </w:p>
        </w:tc>
        <w:tc>
          <w:tcPr>
            <w:tcW w:w="1985" w:type="dxa"/>
            <w:vAlign w:val="center"/>
          </w:tcPr>
          <w:p w14:paraId="29B04E8D" w14:textId="6BBBDB83" w:rsidR="00A8799A" w:rsidRPr="009A55BC" w:rsidRDefault="00A8799A" w:rsidP="00653C0C">
            <w:pPr>
              <w:spacing w:line="240" w:lineRule="auto"/>
              <w:contextualSpacing/>
              <w:jc w:val="center"/>
              <w:rPr>
                <w:rFonts w:ascii="Times New Roman" w:hAnsi="Times New Roman"/>
                <w:sz w:val="24"/>
                <w:szCs w:val="24"/>
              </w:rPr>
            </w:pPr>
            <w:r>
              <w:rPr>
                <w:rFonts w:ascii="Times New Roman" w:hAnsi="Times New Roman"/>
                <w:sz w:val="24"/>
                <w:szCs w:val="24"/>
              </w:rPr>
              <w:t>71% - 89%</w:t>
            </w:r>
          </w:p>
        </w:tc>
        <w:tc>
          <w:tcPr>
            <w:tcW w:w="1984" w:type="dxa"/>
            <w:vAlign w:val="center"/>
          </w:tcPr>
          <w:p w14:paraId="11ADE158" w14:textId="01635AF0" w:rsidR="00A8799A" w:rsidRPr="009A55BC" w:rsidRDefault="00A8799A" w:rsidP="00653C0C">
            <w:pPr>
              <w:spacing w:line="240" w:lineRule="auto"/>
              <w:contextualSpacing/>
              <w:jc w:val="center"/>
              <w:rPr>
                <w:rFonts w:ascii="Times New Roman" w:hAnsi="Times New Roman"/>
                <w:sz w:val="24"/>
                <w:szCs w:val="24"/>
              </w:rPr>
            </w:pPr>
            <w:r>
              <w:rPr>
                <w:rFonts w:ascii="Times New Roman" w:hAnsi="Times New Roman"/>
                <w:sz w:val="24"/>
                <w:szCs w:val="24"/>
              </w:rPr>
              <w:t>90% un vairāk</w:t>
            </w:r>
          </w:p>
        </w:tc>
      </w:tr>
      <w:tr w:rsidR="00653C0C" w:rsidRPr="009A55BC" w14:paraId="43040B9D" w14:textId="77777777" w:rsidTr="003112BE">
        <w:trPr>
          <w:jc w:val="center"/>
        </w:trPr>
        <w:tc>
          <w:tcPr>
            <w:tcW w:w="988" w:type="dxa"/>
          </w:tcPr>
          <w:p w14:paraId="69FF90EA" w14:textId="7B4755C1" w:rsidR="00653C0C" w:rsidRPr="009A55BC" w:rsidRDefault="00653C0C"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5.5.</w:t>
            </w:r>
          </w:p>
        </w:tc>
        <w:tc>
          <w:tcPr>
            <w:tcW w:w="3402" w:type="dxa"/>
          </w:tcPr>
          <w:p w14:paraId="0C6740B2" w14:textId="3AD2423F" w:rsidR="00653C0C" w:rsidRPr="009A55BC" w:rsidRDefault="00653C0C" w:rsidP="005A34F0">
            <w:pPr>
              <w:pStyle w:val="ListParagraph"/>
              <w:spacing w:line="240" w:lineRule="auto"/>
              <w:ind w:left="0"/>
              <w:rPr>
                <w:rFonts w:ascii="Times New Roman" w:hAnsi="Times New Roman"/>
                <w:sz w:val="24"/>
                <w:szCs w:val="24"/>
              </w:rPr>
            </w:pPr>
            <w:r w:rsidRPr="009A55BC">
              <w:rPr>
                <w:rFonts w:ascii="Times New Roman" w:hAnsi="Times New Roman"/>
                <w:sz w:val="24"/>
                <w:szCs w:val="24"/>
              </w:rPr>
              <w:t>Pacientu sūdzību</w:t>
            </w:r>
            <w:r>
              <w:rPr>
                <w:rFonts w:ascii="Times New Roman" w:hAnsi="Times New Roman"/>
                <w:sz w:val="24"/>
                <w:szCs w:val="24"/>
              </w:rPr>
              <w:t xml:space="preserve"> </w:t>
            </w:r>
            <w:r w:rsidRPr="009A55BC">
              <w:rPr>
                <w:rFonts w:ascii="Times New Roman" w:hAnsi="Times New Roman"/>
                <w:sz w:val="24"/>
                <w:szCs w:val="24"/>
              </w:rPr>
              <w:t>īpatsvars</w:t>
            </w:r>
          </w:p>
        </w:tc>
        <w:tc>
          <w:tcPr>
            <w:tcW w:w="1984" w:type="dxa"/>
            <w:vAlign w:val="center"/>
          </w:tcPr>
          <w:p w14:paraId="684659BA" w14:textId="45E9D7EA" w:rsidR="00653C0C" w:rsidRPr="009A55BC" w:rsidRDefault="00653C0C" w:rsidP="00653C0C">
            <w:pPr>
              <w:pStyle w:val="ListParagraph"/>
              <w:spacing w:line="240" w:lineRule="auto"/>
              <w:ind w:left="0"/>
              <w:jc w:val="center"/>
              <w:rPr>
                <w:rFonts w:ascii="Times New Roman" w:hAnsi="Times New Roman"/>
                <w:sz w:val="24"/>
                <w:szCs w:val="24"/>
              </w:rPr>
            </w:pPr>
            <w:r w:rsidRPr="009A55BC">
              <w:rPr>
                <w:rFonts w:ascii="Times New Roman" w:hAnsi="Times New Roman"/>
                <w:sz w:val="24"/>
                <w:szCs w:val="24"/>
              </w:rPr>
              <w:t>5% un vairāk</w:t>
            </w:r>
          </w:p>
        </w:tc>
        <w:tc>
          <w:tcPr>
            <w:tcW w:w="1985" w:type="dxa"/>
            <w:vAlign w:val="center"/>
          </w:tcPr>
          <w:p w14:paraId="4413F3C3" w14:textId="5AFE1CD2" w:rsidR="00653C0C" w:rsidRPr="009A55BC" w:rsidRDefault="00653C0C" w:rsidP="00653C0C">
            <w:pPr>
              <w:pStyle w:val="ListParagraph"/>
              <w:spacing w:line="240" w:lineRule="auto"/>
              <w:ind w:left="0"/>
              <w:jc w:val="center"/>
              <w:rPr>
                <w:rFonts w:ascii="Times New Roman" w:hAnsi="Times New Roman"/>
                <w:sz w:val="24"/>
                <w:szCs w:val="24"/>
              </w:rPr>
            </w:pPr>
            <w:r w:rsidRPr="009A55BC">
              <w:rPr>
                <w:rFonts w:ascii="Times New Roman" w:hAnsi="Times New Roman"/>
                <w:sz w:val="24"/>
                <w:szCs w:val="24"/>
              </w:rPr>
              <w:t>2% - 4%</w:t>
            </w:r>
          </w:p>
        </w:tc>
        <w:tc>
          <w:tcPr>
            <w:tcW w:w="1984" w:type="dxa"/>
            <w:vAlign w:val="center"/>
          </w:tcPr>
          <w:p w14:paraId="6DE34612" w14:textId="06C2D6AC" w:rsidR="00653C0C" w:rsidRPr="009A55BC" w:rsidRDefault="00653C0C" w:rsidP="00653C0C">
            <w:pPr>
              <w:pStyle w:val="ListParagraph"/>
              <w:spacing w:line="240" w:lineRule="auto"/>
              <w:ind w:left="0"/>
              <w:jc w:val="center"/>
              <w:rPr>
                <w:rFonts w:ascii="Times New Roman" w:hAnsi="Times New Roman"/>
                <w:sz w:val="24"/>
                <w:szCs w:val="24"/>
              </w:rPr>
            </w:pPr>
            <w:r w:rsidRPr="009A55BC">
              <w:rPr>
                <w:rFonts w:ascii="Times New Roman" w:hAnsi="Times New Roman"/>
                <w:sz w:val="24"/>
                <w:szCs w:val="24"/>
              </w:rPr>
              <w:t>līdz 1%</w:t>
            </w:r>
          </w:p>
        </w:tc>
      </w:tr>
    </w:tbl>
    <w:p w14:paraId="197A0AE2" w14:textId="77777777" w:rsidR="00CB471C" w:rsidRPr="009A55BC" w:rsidRDefault="00CB471C" w:rsidP="009A55BC">
      <w:pPr>
        <w:pStyle w:val="tv213"/>
        <w:spacing w:before="0" w:beforeAutospacing="0" w:after="0" w:afterAutospacing="0"/>
        <w:jc w:val="both"/>
      </w:pPr>
    </w:p>
    <w:p w14:paraId="72F37045" w14:textId="77777777" w:rsidR="00A8799A" w:rsidRDefault="00A8799A">
      <w:pPr>
        <w:spacing w:line="259" w:lineRule="auto"/>
        <w:rPr>
          <w:rFonts w:ascii="Times New Roman" w:eastAsia="Times New Roman" w:hAnsi="Times New Roman"/>
          <w:sz w:val="24"/>
          <w:szCs w:val="24"/>
          <w:lang w:eastAsia="lv-LV"/>
        </w:rPr>
      </w:pPr>
      <w:r>
        <w:br w:type="page"/>
      </w:r>
    </w:p>
    <w:p w14:paraId="7099C797" w14:textId="4EDC4297" w:rsidR="005D7B31" w:rsidRPr="009A55BC" w:rsidRDefault="009E325F" w:rsidP="009A55BC">
      <w:pPr>
        <w:pStyle w:val="tv213"/>
        <w:spacing w:before="0" w:beforeAutospacing="0" w:after="0" w:afterAutospacing="0"/>
        <w:jc w:val="right"/>
      </w:pPr>
      <w:r w:rsidRPr="009A55BC">
        <w:lastRenderedPageBreak/>
        <w:t>1.pielikums</w:t>
      </w:r>
    </w:p>
    <w:p w14:paraId="74C122D0" w14:textId="77777777" w:rsidR="009A55BC" w:rsidRPr="009A55BC" w:rsidRDefault="009A55BC" w:rsidP="009A55BC">
      <w:pPr>
        <w:pStyle w:val="tv213"/>
        <w:spacing w:before="0" w:beforeAutospacing="0" w:after="0" w:afterAutospacing="0"/>
        <w:jc w:val="center"/>
      </w:pPr>
    </w:p>
    <w:p w14:paraId="72E56B82" w14:textId="56D998A0" w:rsidR="00BB28D5" w:rsidRPr="009A55BC" w:rsidRDefault="00BB28D5" w:rsidP="009A55BC">
      <w:pPr>
        <w:pStyle w:val="tv213"/>
        <w:spacing w:before="0" w:beforeAutospacing="0" w:after="0" w:afterAutospacing="0"/>
        <w:jc w:val="center"/>
      </w:pPr>
      <w:r w:rsidRPr="009A55BC">
        <w:t>NCSP manipulācijas, kuras tiek ņemtas vērā, nosakot pieredzi pacientu ķirurģiskā ārstēšanā pie konkrētām onkoloģiskajām diagnozēm pēc SSK-10 klasifikatora</w:t>
      </w:r>
    </w:p>
    <w:p w14:paraId="717C5F21" w14:textId="77777777" w:rsidR="009A55BC" w:rsidRPr="009A55BC" w:rsidRDefault="009A55BC" w:rsidP="009A55BC">
      <w:pPr>
        <w:pStyle w:val="tv213"/>
        <w:spacing w:before="0" w:beforeAutospacing="0" w:after="0" w:afterAutospacing="0"/>
        <w:jc w:val="center"/>
      </w:pPr>
    </w:p>
    <w:tbl>
      <w:tblPr>
        <w:tblStyle w:val="Reatabula1"/>
        <w:tblW w:w="10207" w:type="dxa"/>
        <w:tblInd w:w="-289" w:type="dxa"/>
        <w:tblLook w:val="04A0" w:firstRow="1" w:lastRow="0" w:firstColumn="1" w:lastColumn="0" w:noHBand="0" w:noVBand="1"/>
      </w:tblPr>
      <w:tblGrid>
        <w:gridCol w:w="1418"/>
        <w:gridCol w:w="2332"/>
        <w:gridCol w:w="1577"/>
        <w:gridCol w:w="4880"/>
      </w:tblGrid>
      <w:tr w:rsidR="005D7B31" w:rsidRPr="009A55BC" w14:paraId="3DE95743" w14:textId="77777777" w:rsidTr="003112BE">
        <w:tc>
          <w:tcPr>
            <w:tcW w:w="1418" w:type="dxa"/>
            <w:tcBorders>
              <w:top w:val="single" w:sz="4" w:space="0" w:color="auto"/>
              <w:left w:val="single" w:sz="4" w:space="0" w:color="auto"/>
              <w:bottom w:val="single" w:sz="4" w:space="0" w:color="auto"/>
              <w:right w:val="single" w:sz="4" w:space="0" w:color="auto"/>
            </w:tcBorders>
            <w:vAlign w:val="center"/>
            <w:hideMark/>
          </w:tcPr>
          <w:p w14:paraId="54D5EA95" w14:textId="2212A9D9" w:rsidR="005D7B31" w:rsidRPr="009A55BC" w:rsidRDefault="005D7B31" w:rsidP="00653C0C">
            <w:pPr>
              <w:spacing w:line="240" w:lineRule="auto"/>
              <w:contextualSpacing/>
              <w:jc w:val="center"/>
              <w:rPr>
                <w:rFonts w:ascii="Times New Roman" w:hAnsi="Times New Roman"/>
                <w:b/>
                <w:sz w:val="24"/>
                <w:szCs w:val="24"/>
              </w:rPr>
            </w:pPr>
            <w:bookmarkStart w:id="2" w:name="_Hlk126934903"/>
            <w:r w:rsidRPr="009A55BC">
              <w:rPr>
                <w:rFonts w:ascii="Times New Roman" w:hAnsi="Times New Roman"/>
                <w:b/>
                <w:sz w:val="24"/>
                <w:szCs w:val="24"/>
              </w:rPr>
              <w:t>N.p.k.</w:t>
            </w:r>
          </w:p>
        </w:tc>
        <w:tc>
          <w:tcPr>
            <w:tcW w:w="2332" w:type="dxa"/>
            <w:tcBorders>
              <w:top w:val="single" w:sz="4" w:space="0" w:color="auto"/>
              <w:left w:val="single" w:sz="4" w:space="0" w:color="auto"/>
              <w:bottom w:val="single" w:sz="4" w:space="0" w:color="auto"/>
              <w:right w:val="single" w:sz="4" w:space="0" w:color="auto"/>
            </w:tcBorders>
            <w:vAlign w:val="center"/>
            <w:hideMark/>
          </w:tcPr>
          <w:p w14:paraId="2D954613" w14:textId="627E102F" w:rsidR="005D7B31" w:rsidRPr="009A55BC" w:rsidRDefault="005D7B31" w:rsidP="00653C0C">
            <w:pPr>
              <w:spacing w:line="240" w:lineRule="auto"/>
              <w:contextualSpacing/>
              <w:jc w:val="center"/>
              <w:rPr>
                <w:rFonts w:ascii="Times New Roman" w:hAnsi="Times New Roman"/>
                <w:b/>
                <w:sz w:val="24"/>
                <w:szCs w:val="24"/>
              </w:rPr>
            </w:pPr>
            <w:r w:rsidRPr="009A55BC">
              <w:rPr>
                <w:rFonts w:ascii="Times New Roman" w:hAnsi="Times New Roman"/>
                <w:b/>
                <w:sz w:val="24"/>
                <w:szCs w:val="24"/>
              </w:rPr>
              <w:t xml:space="preserve">NCSP manipulācijas pie </w:t>
            </w:r>
            <w:bookmarkStart w:id="3" w:name="_Hlk126934950"/>
            <w:r w:rsidRPr="009A55BC">
              <w:rPr>
                <w:rFonts w:ascii="Times New Roman" w:hAnsi="Times New Roman"/>
                <w:b/>
                <w:sz w:val="24"/>
                <w:szCs w:val="24"/>
              </w:rPr>
              <w:t>konkrētām onkoloģiskajām diagnozēm vai diagnožu grupām pēc SSK-10 klasifikatora</w:t>
            </w:r>
            <w:bookmarkEnd w:id="3"/>
          </w:p>
        </w:tc>
        <w:tc>
          <w:tcPr>
            <w:tcW w:w="1577" w:type="dxa"/>
            <w:tcBorders>
              <w:top w:val="single" w:sz="4" w:space="0" w:color="auto"/>
              <w:left w:val="single" w:sz="4" w:space="0" w:color="auto"/>
              <w:bottom w:val="single" w:sz="4" w:space="0" w:color="auto"/>
              <w:right w:val="single" w:sz="4" w:space="0" w:color="auto"/>
            </w:tcBorders>
            <w:vAlign w:val="center"/>
            <w:hideMark/>
          </w:tcPr>
          <w:p w14:paraId="52AE089D" w14:textId="36A4137A" w:rsidR="005D7B31" w:rsidRPr="009A55BC" w:rsidRDefault="005D7B31" w:rsidP="00653C0C">
            <w:pPr>
              <w:spacing w:line="240" w:lineRule="auto"/>
              <w:contextualSpacing/>
              <w:jc w:val="center"/>
              <w:rPr>
                <w:rFonts w:ascii="Times New Roman" w:hAnsi="Times New Roman"/>
                <w:b/>
                <w:sz w:val="24"/>
                <w:szCs w:val="24"/>
              </w:rPr>
            </w:pPr>
            <w:r w:rsidRPr="009A55BC">
              <w:rPr>
                <w:rFonts w:ascii="Times New Roman" w:hAnsi="Times New Roman"/>
                <w:b/>
                <w:sz w:val="24"/>
                <w:szCs w:val="24"/>
              </w:rPr>
              <w:t xml:space="preserve">Vienā gadā veikto </w:t>
            </w:r>
            <w:r w:rsidR="00903ACE" w:rsidRPr="009A55BC">
              <w:rPr>
                <w:rFonts w:ascii="Times New Roman" w:hAnsi="Times New Roman"/>
                <w:b/>
                <w:sz w:val="24"/>
                <w:szCs w:val="24"/>
              </w:rPr>
              <w:t>ķirurģisko</w:t>
            </w:r>
            <w:r w:rsidRPr="009A55BC">
              <w:rPr>
                <w:rFonts w:ascii="Times New Roman" w:hAnsi="Times New Roman"/>
                <w:b/>
                <w:sz w:val="24"/>
                <w:szCs w:val="24"/>
              </w:rPr>
              <w:t xml:space="preserve"> manipulāciju skaits ārstniecības personai</w:t>
            </w:r>
          </w:p>
        </w:tc>
        <w:tc>
          <w:tcPr>
            <w:tcW w:w="4880" w:type="dxa"/>
            <w:tcBorders>
              <w:top w:val="single" w:sz="4" w:space="0" w:color="auto"/>
              <w:left w:val="single" w:sz="4" w:space="0" w:color="auto"/>
              <w:bottom w:val="single" w:sz="4" w:space="0" w:color="auto"/>
              <w:right w:val="single" w:sz="4" w:space="0" w:color="auto"/>
            </w:tcBorders>
            <w:vAlign w:val="center"/>
          </w:tcPr>
          <w:p w14:paraId="798D5456" w14:textId="77777777" w:rsidR="005D7B31" w:rsidRPr="009A55BC" w:rsidRDefault="005D7B31" w:rsidP="00653C0C">
            <w:pPr>
              <w:spacing w:line="240" w:lineRule="auto"/>
              <w:contextualSpacing/>
              <w:jc w:val="center"/>
              <w:rPr>
                <w:rFonts w:ascii="Times New Roman" w:hAnsi="Times New Roman"/>
                <w:b/>
                <w:sz w:val="24"/>
                <w:szCs w:val="24"/>
              </w:rPr>
            </w:pPr>
            <w:r w:rsidRPr="009A55BC">
              <w:rPr>
                <w:rFonts w:ascii="Times New Roman" w:hAnsi="Times New Roman"/>
                <w:b/>
                <w:sz w:val="24"/>
                <w:szCs w:val="24"/>
              </w:rPr>
              <w:t>NCSP manipulācijas, kuras tiek ņemtas vērā, nosakot pieredzi pacientu ķirurģiskā ārstēšanā</w:t>
            </w:r>
          </w:p>
        </w:tc>
      </w:tr>
      <w:tr w:rsidR="007F1E61" w:rsidRPr="009A55BC" w14:paraId="60C8E3EC" w14:textId="77777777" w:rsidTr="009A55BC">
        <w:tc>
          <w:tcPr>
            <w:tcW w:w="1418" w:type="dxa"/>
            <w:tcBorders>
              <w:top w:val="single" w:sz="4" w:space="0" w:color="auto"/>
              <w:left w:val="single" w:sz="4" w:space="0" w:color="auto"/>
              <w:bottom w:val="single" w:sz="4" w:space="0" w:color="auto"/>
              <w:right w:val="single" w:sz="4" w:space="0" w:color="auto"/>
            </w:tcBorders>
            <w:hideMark/>
          </w:tcPr>
          <w:p w14:paraId="3BC56E19" w14:textId="7DCF3B11" w:rsidR="007F1E61" w:rsidRPr="009A55BC" w:rsidRDefault="007F1E61" w:rsidP="009A55BC">
            <w:pPr>
              <w:spacing w:line="240" w:lineRule="auto"/>
              <w:rPr>
                <w:rFonts w:ascii="Times New Roman" w:hAnsi="Times New Roman"/>
                <w:sz w:val="24"/>
                <w:szCs w:val="24"/>
              </w:rPr>
            </w:pPr>
            <w:bookmarkStart w:id="4" w:name="_Hlk123819242"/>
            <w:bookmarkEnd w:id="2"/>
            <w:r w:rsidRPr="009A55BC">
              <w:rPr>
                <w:rFonts w:ascii="Times New Roman" w:hAnsi="Times New Roman"/>
                <w:sz w:val="24"/>
                <w:szCs w:val="24"/>
              </w:rPr>
              <w:t>1.</w:t>
            </w:r>
          </w:p>
        </w:tc>
        <w:tc>
          <w:tcPr>
            <w:tcW w:w="2332" w:type="dxa"/>
            <w:tcBorders>
              <w:top w:val="single" w:sz="4" w:space="0" w:color="auto"/>
              <w:left w:val="single" w:sz="4" w:space="0" w:color="auto"/>
              <w:bottom w:val="single" w:sz="4" w:space="0" w:color="auto"/>
              <w:right w:val="single" w:sz="4" w:space="0" w:color="auto"/>
            </w:tcBorders>
          </w:tcPr>
          <w:p w14:paraId="201D76DF" w14:textId="0491771F" w:rsidR="007F1E61" w:rsidRPr="009A55BC" w:rsidRDefault="007F1E61" w:rsidP="009A55BC">
            <w:pPr>
              <w:spacing w:line="240" w:lineRule="auto"/>
              <w:rPr>
                <w:rFonts w:ascii="Times New Roman" w:hAnsi="Times New Roman"/>
                <w:sz w:val="24"/>
                <w:szCs w:val="24"/>
              </w:rPr>
            </w:pPr>
            <w:r w:rsidRPr="009A55BC">
              <w:rPr>
                <w:rFonts w:ascii="Times New Roman" w:hAnsi="Times New Roman"/>
                <w:sz w:val="24"/>
                <w:szCs w:val="24"/>
              </w:rPr>
              <w:t>Krūts ļaundabīgs audzējs (C50, D05)</w:t>
            </w:r>
          </w:p>
        </w:tc>
        <w:tc>
          <w:tcPr>
            <w:tcW w:w="1577" w:type="dxa"/>
            <w:tcBorders>
              <w:top w:val="single" w:sz="4" w:space="0" w:color="auto"/>
              <w:left w:val="single" w:sz="4" w:space="0" w:color="auto"/>
              <w:bottom w:val="single" w:sz="4" w:space="0" w:color="auto"/>
              <w:right w:val="single" w:sz="4" w:space="0" w:color="auto"/>
            </w:tcBorders>
          </w:tcPr>
          <w:p w14:paraId="25660EEC" w14:textId="5B938A85"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70</w:t>
            </w:r>
          </w:p>
        </w:tc>
        <w:tc>
          <w:tcPr>
            <w:tcW w:w="4880" w:type="dxa"/>
            <w:tcBorders>
              <w:top w:val="single" w:sz="4" w:space="0" w:color="auto"/>
              <w:left w:val="single" w:sz="4" w:space="0" w:color="auto"/>
              <w:bottom w:val="single" w:sz="4" w:space="0" w:color="auto"/>
              <w:right w:val="single" w:sz="4" w:space="0" w:color="auto"/>
            </w:tcBorders>
          </w:tcPr>
          <w:p w14:paraId="483CD51F" w14:textId="7BB249F1" w:rsidR="0022581A" w:rsidRPr="009A55BC" w:rsidRDefault="0022581A" w:rsidP="009A55BC">
            <w:pPr>
              <w:spacing w:line="240" w:lineRule="auto"/>
              <w:contextualSpacing/>
              <w:rPr>
                <w:rFonts w:ascii="Times New Roman" w:hAnsi="Times New Roman"/>
                <w:sz w:val="24"/>
                <w:szCs w:val="24"/>
              </w:rPr>
            </w:pPr>
            <w:r w:rsidRPr="009A55BC">
              <w:rPr>
                <w:rFonts w:ascii="Times New Roman" w:hAnsi="Times New Roman"/>
                <w:sz w:val="24"/>
                <w:szCs w:val="24"/>
              </w:rPr>
              <w:t>HAB10; HAB20; HAB30; HAB40; HAB99; HAC10; HAC15; HAC20; HAC25; HAC30; HAC99; HAF00</w:t>
            </w:r>
            <w:r w:rsidR="00653C0C">
              <w:rPr>
                <w:rFonts w:ascii="Times New Roman" w:hAnsi="Times New Roman"/>
                <w:sz w:val="24"/>
                <w:szCs w:val="24"/>
              </w:rPr>
              <w:t>;</w:t>
            </w:r>
            <w:r w:rsidRPr="009A55BC">
              <w:rPr>
                <w:rFonts w:ascii="Times New Roman" w:hAnsi="Times New Roman"/>
                <w:sz w:val="24"/>
                <w:szCs w:val="24"/>
              </w:rPr>
              <w:t xml:space="preserve"> HAF20; HAF99; PJD42; PJD52; HAD30; HAE00; PJA10; HAE20; LAF11</w:t>
            </w:r>
          </w:p>
        </w:tc>
      </w:tr>
      <w:tr w:rsidR="007F1E61" w:rsidRPr="009A55BC" w14:paraId="53F1D94D" w14:textId="77777777" w:rsidTr="009A55BC">
        <w:tc>
          <w:tcPr>
            <w:tcW w:w="1418" w:type="dxa"/>
            <w:tcBorders>
              <w:top w:val="single" w:sz="4" w:space="0" w:color="auto"/>
              <w:left w:val="single" w:sz="4" w:space="0" w:color="auto"/>
              <w:bottom w:val="single" w:sz="4" w:space="0" w:color="auto"/>
              <w:right w:val="single" w:sz="4" w:space="0" w:color="auto"/>
            </w:tcBorders>
            <w:hideMark/>
          </w:tcPr>
          <w:p w14:paraId="15DCB086" w14:textId="248B06F1"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2.</w:t>
            </w:r>
          </w:p>
        </w:tc>
        <w:tc>
          <w:tcPr>
            <w:tcW w:w="2332" w:type="dxa"/>
            <w:tcBorders>
              <w:top w:val="single" w:sz="4" w:space="0" w:color="auto"/>
              <w:left w:val="single" w:sz="4" w:space="0" w:color="auto"/>
              <w:bottom w:val="single" w:sz="4" w:space="0" w:color="auto"/>
              <w:right w:val="single" w:sz="4" w:space="0" w:color="auto"/>
            </w:tcBorders>
          </w:tcPr>
          <w:p w14:paraId="4E6CCBB6" w14:textId="47717FE3"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Priekšdziedzera un sēklinieku ļaundabīgs audzējs (C61</w:t>
            </w:r>
            <w:r w:rsidR="005F147D">
              <w:rPr>
                <w:rFonts w:ascii="Times New Roman" w:hAnsi="Times New Roman"/>
                <w:color w:val="000000"/>
                <w:sz w:val="24"/>
                <w:szCs w:val="24"/>
              </w:rPr>
              <w:t xml:space="preserve"> </w:t>
            </w:r>
            <w:r w:rsidRPr="009A55BC">
              <w:rPr>
                <w:rFonts w:ascii="Times New Roman" w:hAnsi="Times New Roman"/>
                <w:color w:val="000000"/>
                <w:sz w:val="24"/>
                <w:szCs w:val="24"/>
              </w:rPr>
              <w:t>- C62)</w:t>
            </w:r>
          </w:p>
        </w:tc>
        <w:tc>
          <w:tcPr>
            <w:tcW w:w="1577" w:type="dxa"/>
            <w:tcBorders>
              <w:top w:val="single" w:sz="4" w:space="0" w:color="auto"/>
              <w:left w:val="single" w:sz="4" w:space="0" w:color="auto"/>
              <w:bottom w:val="single" w:sz="4" w:space="0" w:color="auto"/>
              <w:right w:val="single" w:sz="4" w:space="0" w:color="auto"/>
            </w:tcBorders>
          </w:tcPr>
          <w:p w14:paraId="3ECFE673" w14:textId="76973D59"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15</w:t>
            </w:r>
          </w:p>
        </w:tc>
        <w:tc>
          <w:tcPr>
            <w:tcW w:w="4880" w:type="dxa"/>
            <w:tcBorders>
              <w:top w:val="single" w:sz="4" w:space="0" w:color="auto"/>
              <w:left w:val="single" w:sz="4" w:space="0" w:color="auto"/>
              <w:bottom w:val="single" w:sz="4" w:space="0" w:color="auto"/>
              <w:right w:val="single" w:sz="4" w:space="0" w:color="auto"/>
            </w:tcBorders>
          </w:tcPr>
          <w:p w14:paraId="48C8A1BE" w14:textId="23197C9D"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KEB00; KEC00; KEC01; KED22; PJD44; PJD54; PJD64; KFC00; KAJ00; KCD02; KDV12</w:t>
            </w:r>
          </w:p>
        </w:tc>
      </w:tr>
      <w:tr w:rsidR="007F1E61" w:rsidRPr="009A55BC" w14:paraId="329285FC" w14:textId="77777777" w:rsidTr="009A55BC">
        <w:tc>
          <w:tcPr>
            <w:tcW w:w="1418" w:type="dxa"/>
            <w:tcBorders>
              <w:top w:val="single" w:sz="4" w:space="0" w:color="auto"/>
              <w:left w:val="single" w:sz="4" w:space="0" w:color="auto"/>
              <w:bottom w:val="single" w:sz="4" w:space="0" w:color="auto"/>
              <w:right w:val="single" w:sz="4" w:space="0" w:color="auto"/>
            </w:tcBorders>
          </w:tcPr>
          <w:p w14:paraId="002A52AB" w14:textId="6FE9278E" w:rsidR="007F1E61" w:rsidRPr="009A55BC" w:rsidRDefault="007F1E61" w:rsidP="009A55BC">
            <w:pPr>
              <w:spacing w:line="240" w:lineRule="auto"/>
              <w:rPr>
                <w:rFonts w:ascii="Times New Roman" w:hAnsi="Times New Roman"/>
                <w:iCs/>
                <w:color w:val="000000"/>
                <w:sz w:val="24"/>
                <w:szCs w:val="24"/>
              </w:rPr>
            </w:pPr>
            <w:r w:rsidRPr="009A55BC">
              <w:rPr>
                <w:rFonts w:ascii="Times New Roman" w:hAnsi="Times New Roman"/>
                <w:iCs/>
                <w:color w:val="000000"/>
                <w:sz w:val="24"/>
                <w:szCs w:val="24"/>
              </w:rPr>
              <w:t>3.</w:t>
            </w:r>
          </w:p>
        </w:tc>
        <w:tc>
          <w:tcPr>
            <w:tcW w:w="2332" w:type="dxa"/>
            <w:tcBorders>
              <w:top w:val="single" w:sz="4" w:space="0" w:color="auto"/>
              <w:left w:val="single" w:sz="4" w:space="0" w:color="auto"/>
              <w:bottom w:val="single" w:sz="4" w:space="0" w:color="auto"/>
              <w:right w:val="single" w:sz="4" w:space="0" w:color="auto"/>
            </w:tcBorders>
          </w:tcPr>
          <w:p w14:paraId="72B2089D" w14:textId="23CE617D" w:rsidR="007F1E61" w:rsidRPr="009A55BC" w:rsidRDefault="007F1E61" w:rsidP="009A55BC">
            <w:pPr>
              <w:spacing w:line="240" w:lineRule="auto"/>
              <w:rPr>
                <w:rFonts w:ascii="Times New Roman" w:hAnsi="Times New Roman"/>
                <w:iCs/>
                <w:color w:val="000000"/>
                <w:sz w:val="24"/>
                <w:szCs w:val="24"/>
              </w:rPr>
            </w:pPr>
            <w:r w:rsidRPr="009A55BC">
              <w:rPr>
                <w:rFonts w:ascii="Times New Roman" w:hAnsi="Times New Roman"/>
                <w:iCs/>
                <w:color w:val="000000"/>
                <w:sz w:val="24"/>
                <w:szCs w:val="24"/>
              </w:rPr>
              <w:t>Bronhu, plaušu, aizkrūtes dziedzera, sirds, videnes un pleiras ļaundabīgs audzējs (C34, C37, C38, C45)</w:t>
            </w:r>
          </w:p>
        </w:tc>
        <w:tc>
          <w:tcPr>
            <w:tcW w:w="1577" w:type="dxa"/>
            <w:tcBorders>
              <w:top w:val="single" w:sz="4" w:space="0" w:color="auto"/>
              <w:left w:val="single" w:sz="4" w:space="0" w:color="auto"/>
              <w:bottom w:val="single" w:sz="4" w:space="0" w:color="auto"/>
              <w:right w:val="single" w:sz="4" w:space="0" w:color="auto"/>
            </w:tcBorders>
          </w:tcPr>
          <w:p w14:paraId="33016C78" w14:textId="3F7EB2B4" w:rsidR="007F1E61" w:rsidRPr="009A55BC" w:rsidRDefault="007F1E61" w:rsidP="009A55BC">
            <w:pPr>
              <w:spacing w:line="240" w:lineRule="auto"/>
              <w:contextualSpacing/>
              <w:rPr>
                <w:rFonts w:ascii="Times New Roman" w:hAnsi="Times New Roman"/>
                <w:iCs/>
                <w:sz w:val="24"/>
                <w:szCs w:val="24"/>
              </w:rPr>
            </w:pPr>
            <w:r w:rsidRPr="009A55BC">
              <w:rPr>
                <w:rFonts w:ascii="Times New Roman" w:hAnsi="Times New Roman"/>
                <w:iCs/>
                <w:sz w:val="24"/>
                <w:szCs w:val="24"/>
              </w:rPr>
              <w:t>40</w:t>
            </w:r>
          </w:p>
        </w:tc>
        <w:tc>
          <w:tcPr>
            <w:tcW w:w="4880" w:type="dxa"/>
            <w:tcBorders>
              <w:top w:val="single" w:sz="4" w:space="0" w:color="auto"/>
              <w:left w:val="single" w:sz="4" w:space="0" w:color="auto"/>
              <w:bottom w:val="single" w:sz="4" w:space="0" w:color="auto"/>
              <w:right w:val="single" w:sz="4" w:space="0" w:color="auto"/>
            </w:tcBorders>
          </w:tcPr>
          <w:p w14:paraId="58AAFC01" w14:textId="7A9A895D" w:rsidR="007F1E61" w:rsidRPr="009A55BC" w:rsidRDefault="007F1E61" w:rsidP="009A55BC">
            <w:pPr>
              <w:spacing w:line="240" w:lineRule="auto"/>
              <w:contextualSpacing/>
              <w:rPr>
                <w:rFonts w:ascii="Times New Roman" w:hAnsi="Times New Roman"/>
                <w:iCs/>
                <w:sz w:val="24"/>
                <w:szCs w:val="24"/>
              </w:rPr>
            </w:pPr>
            <w:r w:rsidRPr="009A55BC">
              <w:rPr>
                <w:rFonts w:ascii="Times New Roman" w:hAnsi="Times New Roman"/>
                <w:iCs/>
                <w:sz w:val="24"/>
                <w:szCs w:val="24"/>
              </w:rPr>
              <w:t>GDA20; GDB10; GDB11; GDB20; GDB21; GCA26; GCA30; GCA40; GCA50; GCA60; GCA63; GDC00; GDC01; GDC10; GDC11; GDC13; GDC20; GDC23; GDC26; GDC96; GDC97; GDD00; GDD01; GDD10; GDD11; GDD20; GDD23; GDD26; GDD96; GDD97; GAG33; GAG36; GAE23; GEC00; GEC03; GEC10; GEC13; GEC14; GEC16; GEC20; GEC23; GEC24; GEC26; GEB30; GEB40 GEW96; GAC43; GAC44; GAC96; GAC97; GAE16; GAE20; PJD98; PJA10; GAC01; GBA25; GBA32; GCA32; GCA96; GDB96</w:t>
            </w:r>
          </w:p>
        </w:tc>
      </w:tr>
      <w:tr w:rsidR="007F1E61" w:rsidRPr="009A55BC" w14:paraId="542E3FE9" w14:textId="77777777" w:rsidTr="009A55BC">
        <w:tc>
          <w:tcPr>
            <w:tcW w:w="1418" w:type="dxa"/>
            <w:tcBorders>
              <w:top w:val="single" w:sz="4" w:space="0" w:color="auto"/>
              <w:left w:val="single" w:sz="4" w:space="0" w:color="auto"/>
              <w:bottom w:val="single" w:sz="4" w:space="0" w:color="auto"/>
              <w:right w:val="single" w:sz="4" w:space="0" w:color="auto"/>
            </w:tcBorders>
          </w:tcPr>
          <w:p w14:paraId="3A2AE34C" w14:textId="536A6928"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4.</w:t>
            </w:r>
          </w:p>
        </w:tc>
        <w:tc>
          <w:tcPr>
            <w:tcW w:w="2332" w:type="dxa"/>
            <w:tcBorders>
              <w:top w:val="single" w:sz="4" w:space="0" w:color="auto"/>
              <w:left w:val="single" w:sz="4" w:space="0" w:color="auto"/>
              <w:bottom w:val="single" w:sz="4" w:space="0" w:color="auto"/>
              <w:right w:val="single" w:sz="4" w:space="0" w:color="auto"/>
            </w:tcBorders>
          </w:tcPr>
          <w:p w14:paraId="1A5EB0C8" w14:textId="1594BD28"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sz w:val="24"/>
                <w:szCs w:val="24"/>
              </w:rPr>
              <w:t>Resnās zarnas ļaundabīgs audzējs (C18)</w:t>
            </w:r>
          </w:p>
        </w:tc>
        <w:tc>
          <w:tcPr>
            <w:tcW w:w="1577" w:type="dxa"/>
            <w:tcBorders>
              <w:top w:val="single" w:sz="4" w:space="0" w:color="auto"/>
              <w:left w:val="single" w:sz="4" w:space="0" w:color="auto"/>
              <w:bottom w:val="single" w:sz="4" w:space="0" w:color="auto"/>
              <w:right w:val="single" w:sz="4" w:space="0" w:color="auto"/>
            </w:tcBorders>
          </w:tcPr>
          <w:p w14:paraId="3DB097C9" w14:textId="0629717D"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15</w:t>
            </w:r>
          </w:p>
        </w:tc>
        <w:tc>
          <w:tcPr>
            <w:tcW w:w="4880" w:type="dxa"/>
            <w:tcBorders>
              <w:top w:val="single" w:sz="4" w:space="0" w:color="auto"/>
              <w:left w:val="single" w:sz="4" w:space="0" w:color="auto"/>
              <w:bottom w:val="single" w:sz="4" w:space="0" w:color="auto"/>
              <w:right w:val="single" w:sz="4" w:space="0" w:color="auto"/>
            </w:tcBorders>
          </w:tcPr>
          <w:p w14:paraId="3ABBDD86" w14:textId="01CB8B01"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JFB30; JFB31;</w:t>
            </w:r>
            <w:r w:rsidR="005F147D">
              <w:rPr>
                <w:rFonts w:ascii="Times New Roman" w:hAnsi="Times New Roman"/>
                <w:sz w:val="24"/>
                <w:szCs w:val="24"/>
              </w:rPr>
              <w:t xml:space="preserve"> JFB33; JFB34; JFB40; JFB41;</w:t>
            </w:r>
            <w:r w:rsidRPr="009A55BC">
              <w:rPr>
                <w:rFonts w:ascii="Times New Roman" w:hAnsi="Times New Roman"/>
                <w:sz w:val="24"/>
                <w:szCs w:val="24"/>
              </w:rPr>
              <w:t xml:space="preserve"> JFB43; </w:t>
            </w:r>
            <w:r w:rsidR="005F147D">
              <w:rPr>
                <w:rFonts w:ascii="Times New Roman" w:hAnsi="Times New Roman"/>
                <w:sz w:val="24"/>
                <w:szCs w:val="24"/>
              </w:rPr>
              <w:t xml:space="preserve">JFB44; </w:t>
            </w:r>
            <w:r w:rsidRPr="009A55BC">
              <w:rPr>
                <w:rFonts w:ascii="Times New Roman" w:hAnsi="Times New Roman"/>
                <w:sz w:val="24"/>
                <w:szCs w:val="24"/>
              </w:rPr>
              <w:t>JFB46;</w:t>
            </w:r>
            <w:r w:rsidR="005F147D">
              <w:rPr>
                <w:rFonts w:ascii="Times New Roman" w:hAnsi="Times New Roman"/>
                <w:sz w:val="24"/>
                <w:szCs w:val="24"/>
              </w:rPr>
              <w:t xml:space="preserve"> JFB47; JFB50; JFB51; JFB53; JFB54; JFB60; JFB61; JFB96;</w:t>
            </w:r>
            <w:r w:rsidRPr="009A55BC">
              <w:rPr>
                <w:rFonts w:ascii="Times New Roman" w:hAnsi="Times New Roman"/>
                <w:sz w:val="24"/>
                <w:szCs w:val="24"/>
              </w:rPr>
              <w:t xml:space="preserve"> JFC10; JFC30; PJD97; PJD98; JFF10; JFF23; JFF26;</w:t>
            </w:r>
            <w:r w:rsidR="00AF557B">
              <w:rPr>
                <w:rFonts w:ascii="Times New Roman" w:hAnsi="Times New Roman"/>
                <w:sz w:val="24"/>
                <w:szCs w:val="24"/>
              </w:rPr>
              <w:t xml:space="preserve"> </w:t>
            </w:r>
            <w:r w:rsidRPr="009A55BC">
              <w:rPr>
                <w:rFonts w:ascii="Times New Roman" w:hAnsi="Times New Roman"/>
                <w:sz w:val="24"/>
                <w:szCs w:val="24"/>
              </w:rPr>
              <w:t>JFG20; JAH00; JFB44; JFB47; JFF20</w:t>
            </w:r>
          </w:p>
        </w:tc>
      </w:tr>
      <w:tr w:rsidR="007F1E61" w:rsidRPr="009A55BC" w14:paraId="7F956626" w14:textId="77777777" w:rsidTr="009A55BC">
        <w:tc>
          <w:tcPr>
            <w:tcW w:w="1418" w:type="dxa"/>
            <w:tcBorders>
              <w:top w:val="single" w:sz="4" w:space="0" w:color="auto"/>
              <w:left w:val="single" w:sz="4" w:space="0" w:color="auto"/>
              <w:bottom w:val="single" w:sz="4" w:space="0" w:color="auto"/>
              <w:right w:val="single" w:sz="4" w:space="0" w:color="auto"/>
            </w:tcBorders>
          </w:tcPr>
          <w:p w14:paraId="4F9A3EC3" w14:textId="70720005"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5.</w:t>
            </w:r>
          </w:p>
        </w:tc>
        <w:tc>
          <w:tcPr>
            <w:tcW w:w="2332" w:type="dxa"/>
            <w:tcBorders>
              <w:top w:val="single" w:sz="4" w:space="0" w:color="auto"/>
              <w:left w:val="single" w:sz="4" w:space="0" w:color="auto"/>
              <w:bottom w:val="single" w:sz="4" w:space="0" w:color="auto"/>
              <w:right w:val="single" w:sz="4" w:space="0" w:color="auto"/>
            </w:tcBorders>
          </w:tcPr>
          <w:p w14:paraId="6B668C8A" w14:textId="0C101766"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sz w:val="24"/>
                <w:szCs w:val="24"/>
              </w:rPr>
              <w:t>Taisnās zarnas ļaundabīgs audzējs vai tūpļa un tūpļa kanāla ļaundabīgs audzējs (C19</w:t>
            </w:r>
            <w:r w:rsidR="005F147D">
              <w:rPr>
                <w:rFonts w:ascii="Times New Roman" w:hAnsi="Times New Roman"/>
                <w:sz w:val="24"/>
                <w:szCs w:val="24"/>
              </w:rPr>
              <w:t xml:space="preserve"> </w:t>
            </w:r>
            <w:r w:rsidRPr="009A55BC">
              <w:rPr>
                <w:rFonts w:ascii="Times New Roman" w:hAnsi="Times New Roman"/>
                <w:sz w:val="24"/>
                <w:szCs w:val="24"/>
              </w:rPr>
              <w:t>- C21)</w:t>
            </w:r>
          </w:p>
        </w:tc>
        <w:tc>
          <w:tcPr>
            <w:tcW w:w="1577" w:type="dxa"/>
            <w:tcBorders>
              <w:top w:val="single" w:sz="4" w:space="0" w:color="auto"/>
              <w:left w:val="single" w:sz="4" w:space="0" w:color="auto"/>
              <w:bottom w:val="single" w:sz="4" w:space="0" w:color="auto"/>
              <w:right w:val="single" w:sz="4" w:space="0" w:color="auto"/>
            </w:tcBorders>
          </w:tcPr>
          <w:p w14:paraId="582A71D5" w14:textId="3C298F8B"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15</w:t>
            </w:r>
          </w:p>
        </w:tc>
        <w:tc>
          <w:tcPr>
            <w:tcW w:w="4880" w:type="dxa"/>
            <w:tcBorders>
              <w:top w:val="single" w:sz="4" w:space="0" w:color="auto"/>
              <w:left w:val="single" w:sz="4" w:space="0" w:color="auto"/>
              <w:bottom w:val="single" w:sz="4" w:space="0" w:color="auto"/>
              <w:right w:val="single" w:sz="4" w:space="0" w:color="auto"/>
            </w:tcBorders>
          </w:tcPr>
          <w:p w14:paraId="6F5DE133" w14:textId="2B931DDE"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JFB30; JFB31; JFB43;</w:t>
            </w:r>
            <w:r w:rsidR="005F147D">
              <w:rPr>
                <w:rFonts w:ascii="Times New Roman" w:hAnsi="Times New Roman"/>
                <w:sz w:val="24"/>
                <w:szCs w:val="24"/>
              </w:rPr>
              <w:t xml:space="preserve"> JFB44;</w:t>
            </w:r>
            <w:r w:rsidRPr="009A55BC">
              <w:rPr>
                <w:rFonts w:ascii="Times New Roman" w:hAnsi="Times New Roman"/>
                <w:sz w:val="24"/>
                <w:szCs w:val="24"/>
              </w:rPr>
              <w:t xml:space="preserve"> JFB46; JFC10; JFC30; PJD97; PJD98; JFF10; JFF23; JFF26; </w:t>
            </w:r>
            <w:r w:rsidR="005F147D">
              <w:rPr>
                <w:rFonts w:ascii="Times New Roman" w:hAnsi="Times New Roman"/>
                <w:sz w:val="24"/>
                <w:szCs w:val="24"/>
              </w:rPr>
              <w:t xml:space="preserve">JFF27; JFF30; </w:t>
            </w:r>
            <w:r w:rsidRPr="009A55BC">
              <w:rPr>
                <w:rFonts w:ascii="Times New Roman" w:hAnsi="Times New Roman"/>
                <w:sz w:val="24"/>
                <w:szCs w:val="24"/>
              </w:rPr>
              <w:t xml:space="preserve">JFG20; </w:t>
            </w:r>
            <w:r w:rsidR="005F147D">
              <w:rPr>
                <w:rFonts w:ascii="Times New Roman" w:hAnsi="Times New Roman"/>
                <w:sz w:val="24"/>
                <w:szCs w:val="24"/>
              </w:rPr>
              <w:t xml:space="preserve">JGA73; </w:t>
            </w:r>
            <w:r w:rsidRPr="009A55BC">
              <w:rPr>
                <w:rFonts w:ascii="Times New Roman" w:hAnsi="Times New Roman"/>
                <w:sz w:val="24"/>
                <w:szCs w:val="24"/>
              </w:rPr>
              <w:t xml:space="preserve">JGB00; </w:t>
            </w:r>
            <w:r w:rsidR="005F147D">
              <w:rPr>
                <w:rFonts w:ascii="Times New Roman" w:hAnsi="Times New Roman"/>
                <w:sz w:val="24"/>
                <w:szCs w:val="24"/>
              </w:rPr>
              <w:t xml:space="preserve">JGB01; </w:t>
            </w:r>
            <w:r w:rsidRPr="009A55BC">
              <w:rPr>
                <w:rFonts w:ascii="Times New Roman" w:hAnsi="Times New Roman"/>
                <w:sz w:val="24"/>
                <w:szCs w:val="24"/>
              </w:rPr>
              <w:t>JGB03;</w:t>
            </w:r>
            <w:r w:rsidR="005F147D">
              <w:rPr>
                <w:rFonts w:ascii="Times New Roman" w:hAnsi="Times New Roman"/>
                <w:sz w:val="24"/>
                <w:szCs w:val="24"/>
              </w:rPr>
              <w:t xml:space="preserve"> </w:t>
            </w:r>
            <w:r w:rsidR="005F147D" w:rsidRPr="00AF557B">
              <w:rPr>
                <w:rFonts w:ascii="Times New Roman" w:hAnsi="Times New Roman"/>
                <w:sz w:val="24"/>
                <w:szCs w:val="24"/>
              </w:rPr>
              <w:t>JGB04; JGB06; JGB07; JGB10;</w:t>
            </w:r>
            <w:r w:rsidRPr="00AF557B">
              <w:rPr>
                <w:rFonts w:ascii="Times New Roman" w:hAnsi="Times New Roman"/>
                <w:sz w:val="24"/>
                <w:szCs w:val="24"/>
              </w:rPr>
              <w:t xml:space="preserve"> </w:t>
            </w:r>
            <w:r w:rsidR="005F147D" w:rsidRPr="00AF557B">
              <w:rPr>
                <w:rFonts w:ascii="Times New Roman" w:hAnsi="Times New Roman"/>
                <w:sz w:val="24"/>
                <w:szCs w:val="24"/>
              </w:rPr>
              <w:t>JGB</w:t>
            </w:r>
            <w:r w:rsidR="00C3525A" w:rsidRPr="00AF557B">
              <w:rPr>
                <w:rFonts w:ascii="Times New Roman" w:hAnsi="Times New Roman"/>
                <w:sz w:val="24"/>
                <w:szCs w:val="24"/>
              </w:rPr>
              <w:t xml:space="preserve">30; JGB31; </w:t>
            </w:r>
            <w:r w:rsidRPr="00AF557B">
              <w:rPr>
                <w:rFonts w:ascii="Times New Roman" w:hAnsi="Times New Roman"/>
                <w:sz w:val="24"/>
                <w:szCs w:val="24"/>
              </w:rPr>
              <w:t>JGB33</w:t>
            </w:r>
            <w:r w:rsidRPr="009A55BC">
              <w:rPr>
                <w:rFonts w:ascii="Times New Roman" w:hAnsi="Times New Roman"/>
                <w:sz w:val="24"/>
                <w:szCs w:val="24"/>
              </w:rPr>
              <w:t>; JFB33; JAH00;</w:t>
            </w:r>
            <w:r w:rsidR="00C3525A">
              <w:rPr>
                <w:rFonts w:ascii="Times New Roman" w:hAnsi="Times New Roman"/>
                <w:sz w:val="24"/>
                <w:szCs w:val="24"/>
              </w:rPr>
              <w:t xml:space="preserve"> </w:t>
            </w:r>
            <w:r w:rsidRPr="009A55BC">
              <w:rPr>
                <w:rFonts w:ascii="Times New Roman" w:hAnsi="Times New Roman"/>
                <w:sz w:val="24"/>
                <w:szCs w:val="24"/>
              </w:rPr>
              <w:t>J</w:t>
            </w:r>
            <w:r w:rsidR="00C3525A">
              <w:rPr>
                <w:rFonts w:ascii="Times New Roman" w:hAnsi="Times New Roman"/>
                <w:sz w:val="24"/>
                <w:szCs w:val="24"/>
              </w:rPr>
              <w:t>J</w:t>
            </w:r>
            <w:r w:rsidRPr="009A55BC">
              <w:rPr>
                <w:rFonts w:ascii="Times New Roman" w:hAnsi="Times New Roman"/>
                <w:sz w:val="24"/>
                <w:szCs w:val="24"/>
              </w:rPr>
              <w:t>PE05</w:t>
            </w:r>
          </w:p>
        </w:tc>
      </w:tr>
      <w:tr w:rsidR="007F1E61" w:rsidRPr="009A55BC" w14:paraId="6B0E4CA7" w14:textId="77777777" w:rsidTr="009A55BC">
        <w:tc>
          <w:tcPr>
            <w:tcW w:w="1418" w:type="dxa"/>
            <w:tcBorders>
              <w:top w:val="single" w:sz="4" w:space="0" w:color="auto"/>
              <w:left w:val="single" w:sz="4" w:space="0" w:color="auto"/>
              <w:bottom w:val="single" w:sz="4" w:space="0" w:color="auto"/>
              <w:right w:val="single" w:sz="4" w:space="0" w:color="auto"/>
            </w:tcBorders>
          </w:tcPr>
          <w:p w14:paraId="0D56AC82" w14:textId="777F0EAE"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6.</w:t>
            </w:r>
          </w:p>
        </w:tc>
        <w:tc>
          <w:tcPr>
            <w:tcW w:w="2332" w:type="dxa"/>
            <w:tcBorders>
              <w:top w:val="single" w:sz="4" w:space="0" w:color="auto"/>
              <w:left w:val="single" w:sz="4" w:space="0" w:color="auto"/>
              <w:bottom w:val="single" w:sz="4" w:space="0" w:color="auto"/>
              <w:right w:val="single" w:sz="4" w:space="0" w:color="auto"/>
            </w:tcBorders>
          </w:tcPr>
          <w:p w14:paraId="5124A90E" w14:textId="13F37FAF"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Kuņģa ļaundabīgs audzējs (C16)</w:t>
            </w:r>
          </w:p>
        </w:tc>
        <w:tc>
          <w:tcPr>
            <w:tcW w:w="1577" w:type="dxa"/>
            <w:tcBorders>
              <w:top w:val="single" w:sz="4" w:space="0" w:color="auto"/>
              <w:left w:val="single" w:sz="4" w:space="0" w:color="auto"/>
              <w:bottom w:val="single" w:sz="4" w:space="0" w:color="auto"/>
              <w:right w:val="single" w:sz="4" w:space="0" w:color="auto"/>
            </w:tcBorders>
          </w:tcPr>
          <w:p w14:paraId="06764FE9" w14:textId="7F7609FA"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10</w:t>
            </w:r>
          </w:p>
        </w:tc>
        <w:tc>
          <w:tcPr>
            <w:tcW w:w="4880" w:type="dxa"/>
            <w:tcBorders>
              <w:top w:val="single" w:sz="4" w:space="0" w:color="auto"/>
              <w:left w:val="single" w:sz="4" w:space="0" w:color="auto"/>
              <w:bottom w:val="single" w:sz="4" w:space="0" w:color="auto"/>
              <w:right w:val="single" w:sz="4" w:space="0" w:color="auto"/>
            </w:tcBorders>
          </w:tcPr>
          <w:p w14:paraId="03E45E9D" w14:textId="6E69BEDE"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JDC00; JDC10; JDC11; JDC20; JDC30; JDC40; JDC96; JDC97; JDD00; JDD96; PJD98</w:t>
            </w:r>
          </w:p>
        </w:tc>
      </w:tr>
      <w:tr w:rsidR="007F1E61" w:rsidRPr="009A55BC" w14:paraId="7606905A" w14:textId="77777777" w:rsidTr="009A55BC">
        <w:tc>
          <w:tcPr>
            <w:tcW w:w="1418" w:type="dxa"/>
            <w:tcBorders>
              <w:top w:val="single" w:sz="4" w:space="0" w:color="auto"/>
              <w:left w:val="single" w:sz="4" w:space="0" w:color="auto"/>
              <w:bottom w:val="single" w:sz="4" w:space="0" w:color="auto"/>
              <w:right w:val="single" w:sz="4" w:space="0" w:color="auto"/>
            </w:tcBorders>
          </w:tcPr>
          <w:p w14:paraId="1E9F9589" w14:textId="553BD038"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7.</w:t>
            </w:r>
          </w:p>
        </w:tc>
        <w:tc>
          <w:tcPr>
            <w:tcW w:w="2332" w:type="dxa"/>
            <w:tcBorders>
              <w:top w:val="single" w:sz="4" w:space="0" w:color="auto"/>
              <w:left w:val="single" w:sz="4" w:space="0" w:color="auto"/>
              <w:bottom w:val="single" w:sz="4" w:space="0" w:color="auto"/>
              <w:right w:val="single" w:sz="4" w:space="0" w:color="auto"/>
            </w:tcBorders>
          </w:tcPr>
          <w:p w14:paraId="6B386DC7" w14:textId="69CC3F03"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Nieres, virsnieres ļaundabīgs audzējs (C64 un C74)</w:t>
            </w:r>
          </w:p>
        </w:tc>
        <w:tc>
          <w:tcPr>
            <w:tcW w:w="1577" w:type="dxa"/>
            <w:tcBorders>
              <w:top w:val="single" w:sz="4" w:space="0" w:color="auto"/>
              <w:left w:val="single" w:sz="4" w:space="0" w:color="auto"/>
              <w:bottom w:val="single" w:sz="4" w:space="0" w:color="auto"/>
              <w:right w:val="single" w:sz="4" w:space="0" w:color="auto"/>
            </w:tcBorders>
          </w:tcPr>
          <w:p w14:paraId="6ED8504B" w14:textId="5B9A3360"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7</w:t>
            </w:r>
          </w:p>
        </w:tc>
        <w:tc>
          <w:tcPr>
            <w:tcW w:w="4880" w:type="dxa"/>
            <w:tcBorders>
              <w:top w:val="single" w:sz="4" w:space="0" w:color="auto"/>
              <w:left w:val="single" w:sz="4" w:space="0" w:color="auto"/>
              <w:bottom w:val="single" w:sz="4" w:space="0" w:color="auto"/>
              <w:right w:val="single" w:sz="4" w:space="0" w:color="auto"/>
            </w:tcBorders>
          </w:tcPr>
          <w:p w14:paraId="7B8D47C0" w14:textId="45B1C92F"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KAC00; KAC01; KAD00; KAD01; BCA30; BCA31; BCA40; BCA41; BCA99; PJD99; PJD53; PJD63</w:t>
            </w:r>
          </w:p>
        </w:tc>
      </w:tr>
      <w:tr w:rsidR="007F1E61" w:rsidRPr="009A55BC" w14:paraId="22BCD11C" w14:textId="77777777" w:rsidTr="009A55BC">
        <w:tc>
          <w:tcPr>
            <w:tcW w:w="1418" w:type="dxa"/>
            <w:tcBorders>
              <w:top w:val="single" w:sz="4" w:space="0" w:color="auto"/>
              <w:left w:val="single" w:sz="4" w:space="0" w:color="auto"/>
              <w:bottom w:val="single" w:sz="4" w:space="0" w:color="auto"/>
              <w:right w:val="single" w:sz="4" w:space="0" w:color="auto"/>
            </w:tcBorders>
          </w:tcPr>
          <w:p w14:paraId="74DCB36B" w14:textId="5F9F3A8F"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8.</w:t>
            </w:r>
          </w:p>
        </w:tc>
        <w:tc>
          <w:tcPr>
            <w:tcW w:w="2332" w:type="dxa"/>
            <w:tcBorders>
              <w:top w:val="single" w:sz="4" w:space="0" w:color="auto"/>
              <w:left w:val="single" w:sz="4" w:space="0" w:color="auto"/>
              <w:bottom w:val="single" w:sz="4" w:space="0" w:color="auto"/>
              <w:right w:val="single" w:sz="4" w:space="0" w:color="auto"/>
            </w:tcBorders>
          </w:tcPr>
          <w:p w14:paraId="51DC1146" w14:textId="507FEBB6"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Urīnpūšļa ļaundabīgs audzējs (C67)</w:t>
            </w:r>
          </w:p>
        </w:tc>
        <w:tc>
          <w:tcPr>
            <w:tcW w:w="1577" w:type="dxa"/>
            <w:tcBorders>
              <w:top w:val="single" w:sz="4" w:space="0" w:color="auto"/>
              <w:left w:val="single" w:sz="4" w:space="0" w:color="auto"/>
              <w:bottom w:val="single" w:sz="4" w:space="0" w:color="auto"/>
              <w:right w:val="single" w:sz="4" w:space="0" w:color="auto"/>
            </w:tcBorders>
          </w:tcPr>
          <w:p w14:paraId="028F7895" w14:textId="56828493"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20</w:t>
            </w:r>
          </w:p>
        </w:tc>
        <w:tc>
          <w:tcPr>
            <w:tcW w:w="4880" w:type="dxa"/>
            <w:tcBorders>
              <w:top w:val="single" w:sz="4" w:space="0" w:color="auto"/>
              <w:left w:val="single" w:sz="4" w:space="0" w:color="auto"/>
              <w:bottom w:val="single" w:sz="4" w:space="0" w:color="auto"/>
              <w:right w:val="single" w:sz="4" w:space="0" w:color="auto"/>
            </w:tcBorders>
          </w:tcPr>
          <w:p w14:paraId="5511B0EA" w14:textId="6824E4F9"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KAJ00; KCC10; KCD02; PJD44; KCC00; KBH30; KCC30; KAC20; KED22; PJD54; KCC20; KDV12</w:t>
            </w:r>
          </w:p>
        </w:tc>
      </w:tr>
      <w:tr w:rsidR="007F1E61" w:rsidRPr="009A55BC" w14:paraId="3E5C3858" w14:textId="77777777" w:rsidTr="009A55BC">
        <w:tc>
          <w:tcPr>
            <w:tcW w:w="1418" w:type="dxa"/>
            <w:tcBorders>
              <w:top w:val="single" w:sz="4" w:space="0" w:color="auto"/>
              <w:left w:val="single" w:sz="4" w:space="0" w:color="auto"/>
              <w:bottom w:val="single" w:sz="4" w:space="0" w:color="auto"/>
              <w:right w:val="single" w:sz="4" w:space="0" w:color="auto"/>
            </w:tcBorders>
          </w:tcPr>
          <w:p w14:paraId="40AEF052" w14:textId="7A2F704E" w:rsidR="007F1E61" w:rsidRPr="009A55BC" w:rsidRDefault="007F1E61" w:rsidP="009A55BC">
            <w:pPr>
              <w:spacing w:line="240" w:lineRule="auto"/>
              <w:rPr>
                <w:rFonts w:ascii="Times New Roman" w:hAnsi="Times New Roman"/>
                <w:iCs/>
                <w:color w:val="000000"/>
                <w:sz w:val="24"/>
                <w:szCs w:val="24"/>
              </w:rPr>
            </w:pPr>
            <w:r w:rsidRPr="009A55BC">
              <w:rPr>
                <w:rFonts w:ascii="Times New Roman" w:hAnsi="Times New Roman"/>
                <w:iCs/>
                <w:color w:val="000000"/>
                <w:sz w:val="24"/>
                <w:szCs w:val="24"/>
              </w:rPr>
              <w:lastRenderedPageBreak/>
              <w:t>9.</w:t>
            </w:r>
          </w:p>
        </w:tc>
        <w:tc>
          <w:tcPr>
            <w:tcW w:w="2332" w:type="dxa"/>
            <w:tcBorders>
              <w:top w:val="single" w:sz="4" w:space="0" w:color="auto"/>
              <w:left w:val="single" w:sz="4" w:space="0" w:color="auto"/>
              <w:bottom w:val="single" w:sz="4" w:space="0" w:color="auto"/>
              <w:right w:val="single" w:sz="4" w:space="0" w:color="auto"/>
            </w:tcBorders>
          </w:tcPr>
          <w:p w14:paraId="124648C4" w14:textId="6A712209"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Aizkuņģa dziedzera ļaundabīgs audzējs (C25)</w:t>
            </w:r>
          </w:p>
        </w:tc>
        <w:tc>
          <w:tcPr>
            <w:tcW w:w="1577" w:type="dxa"/>
            <w:tcBorders>
              <w:top w:val="single" w:sz="4" w:space="0" w:color="auto"/>
              <w:left w:val="single" w:sz="4" w:space="0" w:color="auto"/>
              <w:bottom w:val="single" w:sz="4" w:space="0" w:color="auto"/>
              <w:right w:val="single" w:sz="4" w:space="0" w:color="auto"/>
            </w:tcBorders>
          </w:tcPr>
          <w:p w14:paraId="2D624BEA" w14:textId="11339D99" w:rsidR="007F1E61" w:rsidRPr="009A55BC" w:rsidRDefault="007F1E61" w:rsidP="009A55BC">
            <w:pPr>
              <w:spacing w:line="240" w:lineRule="auto"/>
              <w:contextualSpacing/>
              <w:rPr>
                <w:rFonts w:ascii="Times New Roman" w:hAnsi="Times New Roman"/>
                <w:iCs/>
                <w:sz w:val="24"/>
                <w:szCs w:val="24"/>
              </w:rPr>
            </w:pPr>
            <w:r w:rsidRPr="009A55BC">
              <w:rPr>
                <w:rFonts w:ascii="Times New Roman" w:hAnsi="Times New Roman"/>
                <w:iCs/>
                <w:sz w:val="24"/>
                <w:szCs w:val="24"/>
              </w:rPr>
              <w:t>5</w:t>
            </w:r>
          </w:p>
        </w:tc>
        <w:tc>
          <w:tcPr>
            <w:tcW w:w="4880" w:type="dxa"/>
            <w:tcBorders>
              <w:top w:val="single" w:sz="4" w:space="0" w:color="auto"/>
              <w:left w:val="single" w:sz="4" w:space="0" w:color="auto"/>
              <w:bottom w:val="single" w:sz="4" w:space="0" w:color="auto"/>
              <w:right w:val="single" w:sz="4" w:space="0" w:color="auto"/>
            </w:tcBorders>
          </w:tcPr>
          <w:p w14:paraId="2F071924" w14:textId="288BE54D" w:rsidR="007F1E61" w:rsidRPr="009A55BC" w:rsidRDefault="007F1E61" w:rsidP="009A55BC">
            <w:pPr>
              <w:spacing w:line="240" w:lineRule="auto"/>
              <w:contextualSpacing/>
              <w:rPr>
                <w:rFonts w:ascii="Times New Roman" w:hAnsi="Times New Roman"/>
                <w:iCs/>
                <w:sz w:val="24"/>
                <w:szCs w:val="24"/>
              </w:rPr>
            </w:pPr>
            <w:r w:rsidRPr="009A55BC">
              <w:rPr>
                <w:rFonts w:ascii="Times New Roman" w:hAnsi="Times New Roman"/>
                <w:iCs/>
                <w:sz w:val="24"/>
                <w:szCs w:val="24"/>
              </w:rPr>
              <w:t>JAH20; JAH21; JLC30; JLC40; JLC20; JLC50; JKD00; JKD10; JLB96; JLC10; PJD98; JAH00; JAH01; JDE00; J</w:t>
            </w:r>
            <w:r w:rsidR="00C3525A">
              <w:rPr>
                <w:rFonts w:ascii="Times New Roman" w:hAnsi="Times New Roman"/>
                <w:iCs/>
                <w:sz w:val="24"/>
                <w:szCs w:val="24"/>
              </w:rPr>
              <w:t>J</w:t>
            </w:r>
            <w:r w:rsidRPr="009A55BC">
              <w:rPr>
                <w:rFonts w:ascii="Times New Roman" w:hAnsi="Times New Roman"/>
                <w:iCs/>
                <w:sz w:val="24"/>
                <w:szCs w:val="24"/>
              </w:rPr>
              <w:t>PE05</w:t>
            </w:r>
          </w:p>
        </w:tc>
      </w:tr>
      <w:tr w:rsidR="007F1E61" w:rsidRPr="009A55BC" w14:paraId="767675E1" w14:textId="77777777" w:rsidTr="009A55BC">
        <w:tc>
          <w:tcPr>
            <w:tcW w:w="1418" w:type="dxa"/>
            <w:tcBorders>
              <w:top w:val="single" w:sz="4" w:space="0" w:color="auto"/>
              <w:left w:val="single" w:sz="4" w:space="0" w:color="auto"/>
              <w:bottom w:val="single" w:sz="4" w:space="0" w:color="auto"/>
              <w:right w:val="single" w:sz="4" w:space="0" w:color="auto"/>
            </w:tcBorders>
          </w:tcPr>
          <w:p w14:paraId="72EA5FA2" w14:textId="37BB6EF6" w:rsidR="007F1E61" w:rsidRPr="009A55BC" w:rsidRDefault="007F1E61" w:rsidP="009A55BC">
            <w:pPr>
              <w:spacing w:line="240" w:lineRule="auto"/>
              <w:rPr>
                <w:rFonts w:ascii="Times New Roman" w:hAnsi="Times New Roman"/>
                <w:iCs/>
                <w:color w:val="000000"/>
                <w:sz w:val="24"/>
                <w:szCs w:val="24"/>
              </w:rPr>
            </w:pPr>
            <w:r w:rsidRPr="009A55BC">
              <w:rPr>
                <w:rFonts w:ascii="Times New Roman" w:hAnsi="Times New Roman"/>
                <w:iCs/>
                <w:color w:val="000000"/>
                <w:sz w:val="24"/>
                <w:szCs w:val="24"/>
              </w:rPr>
              <w:t>10.</w:t>
            </w:r>
          </w:p>
        </w:tc>
        <w:tc>
          <w:tcPr>
            <w:tcW w:w="2332" w:type="dxa"/>
            <w:tcBorders>
              <w:top w:val="single" w:sz="4" w:space="0" w:color="auto"/>
              <w:left w:val="single" w:sz="4" w:space="0" w:color="auto"/>
              <w:bottom w:val="single" w:sz="4" w:space="0" w:color="auto"/>
              <w:right w:val="single" w:sz="4" w:space="0" w:color="auto"/>
            </w:tcBorders>
          </w:tcPr>
          <w:p w14:paraId="2463B7A0" w14:textId="7EE303CD"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Dzemdes ķermeņa (C54, C55) un olnīcu (C56) ļaundabīgs audzējs</w:t>
            </w:r>
          </w:p>
        </w:tc>
        <w:tc>
          <w:tcPr>
            <w:tcW w:w="1577" w:type="dxa"/>
            <w:tcBorders>
              <w:top w:val="single" w:sz="4" w:space="0" w:color="auto"/>
              <w:left w:val="single" w:sz="4" w:space="0" w:color="auto"/>
              <w:bottom w:val="single" w:sz="4" w:space="0" w:color="auto"/>
              <w:right w:val="single" w:sz="4" w:space="0" w:color="auto"/>
            </w:tcBorders>
          </w:tcPr>
          <w:p w14:paraId="20882CA6" w14:textId="6615C9C1" w:rsidR="007F1E61" w:rsidRPr="009A55BC" w:rsidRDefault="007F1E61" w:rsidP="009A55BC">
            <w:pPr>
              <w:spacing w:line="240" w:lineRule="auto"/>
              <w:contextualSpacing/>
              <w:rPr>
                <w:rFonts w:ascii="Times New Roman" w:hAnsi="Times New Roman"/>
                <w:iCs/>
                <w:sz w:val="24"/>
                <w:szCs w:val="24"/>
              </w:rPr>
            </w:pPr>
            <w:r w:rsidRPr="009A55BC">
              <w:rPr>
                <w:rFonts w:ascii="Times New Roman" w:hAnsi="Times New Roman"/>
                <w:iCs/>
                <w:sz w:val="24"/>
                <w:szCs w:val="24"/>
              </w:rPr>
              <w:t>30</w:t>
            </w:r>
          </w:p>
        </w:tc>
        <w:tc>
          <w:tcPr>
            <w:tcW w:w="4880" w:type="dxa"/>
            <w:tcBorders>
              <w:top w:val="single" w:sz="4" w:space="0" w:color="auto"/>
              <w:left w:val="single" w:sz="4" w:space="0" w:color="auto"/>
              <w:bottom w:val="single" w:sz="4" w:space="0" w:color="auto"/>
              <w:right w:val="single" w:sz="4" w:space="0" w:color="auto"/>
            </w:tcBorders>
          </w:tcPr>
          <w:p w14:paraId="2325A6A3" w14:textId="6CE9DBBC" w:rsidR="007F1E61" w:rsidRPr="009A55BC" w:rsidRDefault="007F1E61" w:rsidP="009A55BC">
            <w:pPr>
              <w:spacing w:line="240" w:lineRule="auto"/>
              <w:contextualSpacing/>
              <w:rPr>
                <w:rFonts w:ascii="Times New Roman" w:hAnsi="Times New Roman"/>
                <w:iCs/>
                <w:sz w:val="24"/>
                <w:szCs w:val="24"/>
              </w:rPr>
            </w:pPr>
            <w:r w:rsidRPr="009A55BC">
              <w:rPr>
                <w:rFonts w:ascii="Times New Roman" w:hAnsi="Times New Roman"/>
                <w:iCs/>
                <w:sz w:val="24"/>
                <w:szCs w:val="24"/>
              </w:rPr>
              <w:t>LAF10; LCA13; LCD00; PJD43; PJD44; JAL00; JAL30; LAF11; LCD01; LCD04</w:t>
            </w:r>
          </w:p>
        </w:tc>
      </w:tr>
      <w:tr w:rsidR="007F1E61" w:rsidRPr="009A55BC" w14:paraId="5C8A225E" w14:textId="77777777" w:rsidTr="009A55BC">
        <w:tc>
          <w:tcPr>
            <w:tcW w:w="1418" w:type="dxa"/>
            <w:tcBorders>
              <w:top w:val="single" w:sz="4" w:space="0" w:color="auto"/>
              <w:left w:val="single" w:sz="4" w:space="0" w:color="auto"/>
              <w:bottom w:val="single" w:sz="4" w:space="0" w:color="auto"/>
              <w:right w:val="single" w:sz="4" w:space="0" w:color="auto"/>
            </w:tcBorders>
          </w:tcPr>
          <w:p w14:paraId="3995418F" w14:textId="4FA2A5F7"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11.</w:t>
            </w:r>
          </w:p>
        </w:tc>
        <w:tc>
          <w:tcPr>
            <w:tcW w:w="2332" w:type="dxa"/>
            <w:tcBorders>
              <w:top w:val="single" w:sz="4" w:space="0" w:color="auto"/>
              <w:left w:val="single" w:sz="4" w:space="0" w:color="auto"/>
              <w:bottom w:val="single" w:sz="4" w:space="0" w:color="auto"/>
              <w:right w:val="single" w:sz="4" w:space="0" w:color="auto"/>
            </w:tcBorders>
          </w:tcPr>
          <w:p w14:paraId="2E00D880" w14:textId="02F3D45B"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Smadzeņu un citu centrālās nervu sistēmas daļu ļaundabīgs un labdabīgs audzējs (C70</w:t>
            </w:r>
            <w:r w:rsidR="00C3525A">
              <w:rPr>
                <w:rFonts w:ascii="Times New Roman" w:hAnsi="Times New Roman"/>
                <w:color w:val="000000"/>
                <w:sz w:val="24"/>
                <w:szCs w:val="24"/>
              </w:rPr>
              <w:t xml:space="preserve"> </w:t>
            </w:r>
            <w:r w:rsidRPr="009A55BC">
              <w:rPr>
                <w:rFonts w:ascii="Times New Roman" w:hAnsi="Times New Roman"/>
                <w:color w:val="000000"/>
                <w:sz w:val="24"/>
                <w:szCs w:val="24"/>
              </w:rPr>
              <w:t>-</w:t>
            </w:r>
            <w:r w:rsidR="00C3525A">
              <w:rPr>
                <w:rFonts w:ascii="Times New Roman" w:hAnsi="Times New Roman"/>
                <w:color w:val="000000"/>
                <w:sz w:val="24"/>
                <w:szCs w:val="24"/>
              </w:rPr>
              <w:t xml:space="preserve"> </w:t>
            </w:r>
            <w:r w:rsidRPr="009A55BC">
              <w:rPr>
                <w:rFonts w:ascii="Times New Roman" w:hAnsi="Times New Roman"/>
                <w:color w:val="000000"/>
                <w:sz w:val="24"/>
                <w:szCs w:val="24"/>
              </w:rPr>
              <w:t xml:space="preserve">C72, </w:t>
            </w:r>
            <w:r w:rsidRPr="009A55BC">
              <w:rPr>
                <w:rFonts w:ascii="Times New Roman" w:hAnsi="Times New Roman"/>
                <w:sz w:val="24"/>
                <w:szCs w:val="24"/>
              </w:rPr>
              <w:t>D32</w:t>
            </w:r>
            <w:r w:rsidR="00C3525A">
              <w:rPr>
                <w:rFonts w:ascii="Times New Roman" w:hAnsi="Times New Roman"/>
                <w:sz w:val="24"/>
                <w:szCs w:val="24"/>
              </w:rPr>
              <w:t xml:space="preserve"> </w:t>
            </w:r>
            <w:r w:rsidRPr="009A55BC">
              <w:rPr>
                <w:rFonts w:ascii="Times New Roman" w:hAnsi="Times New Roman"/>
                <w:sz w:val="24"/>
                <w:szCs w:val="24"/>
              </w:rPr>
              <w:t>- D33)</w:t>
            </w:r>
          </w:p>
        </w:tc>
        <w:tc>
          <w:tcPr>
            <w:tcW w:w="1577" w:type="dxa"/>
            <w:tcBorders>
              <w:top w:val="single" w:sz="4" w:space="0" w:color="auto"/>
              <w:left w:val="single" w:sz="4" w:space="0" w:color="auto"/>
              <w:bottom w:val="single" w:sz="4" w:space="0" w:color="auto"/>
              <w:right w:val="single" w:sz="4" w:space="0" w:color="auto"/>
            </w:tcBorders>
          </w:tcPr>
          <w:p w14:paraId="717E8043" w14:textId="21E3B21D"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10</w:t>
            </w:r>
          </w:p>
        </w:tc>
        <w:tc>
          <w:tcPr>
            <w:tcW w:w="4880" w:type="dxa"/>
            <w:tcBorders>
              <w:top w:val="single" w:sz="4" w:space="0" w:color="auto"/>
              <w:left w:val="single" w:sz="4" w:space="0" w:color="auto"/>
              <w:bottom w:val="single" w:sz="4" w:space="0" w:color="auto"/>
              <w:right w:val="single" w:sz="4" w:space="0" w:color="auto"/>
            </w:tcBorders>
          </w:tcPr>
          <w:p w14:paraId="1D0B7B69" w14:textId="3734BF87"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AAB00; ABB00; AAG00</w:t>
            </w:r>
          </w:p>
        </w:tc>
      </w:tr>
      <w:tr w:rsidR="007F1E61" w:rsidRPr="009A55BC" w14:paraId="4AC7E344" w14:textId="77777777" w:rsidTr="009A55BC">
        <w:tc>
          <w:tcPr>
            <w:tcW w:w="1418" w:type="dxa"/>
            <w:tcBorders>
              <w:top w:val="single" w:sz="4" w:space="0" w:color="auto"/>
              <w:left w:val="single" w:sz="4" w:space="0" w:color="auto"/>
              <w:bottom w:val="single" w:sz="4" w:space="0" w:color="auto"/>
              <w:right w:val="single" w:sz="4" w:space="0" w:color="auto"/>
            </w:tcBorders>
          </w:tcPr>
          <w:p w14:paraId="3A5544F8" w14:textId="45AA2485"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12.</w:t>
            </w:r>
          </w:p>
        </w:tc>
        <w:tc>
          <w:tcPr>
            <w:tcW w:w="2332" w:type="dxa"/>
            <w:tcBorders>
              <w:top w:val="single" w:sz="4" w:space="0" w:color="auto"/>
              <w:left w:val="single" w:sz="4" w:space="0" w:color="auto"/>
              <w:bottom w:val="single" w:sz="4" w:space="0" w:color="auto"/>
              <w:right w:val="single" w:sz="4" w:space="0" w:color="auto"/>
            </w:tcBorders>
          </w:tcPr>
          <w:p w14:paraId="7443A93E" w14:textId="7DA47255"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Vairogdziedzera ļaundabīgs audzējs (C73)</w:t>
            </w:r>
          </w:p>
        </w:tc>
        <w:tc>
          <w:tcPr>
            <w:tcW w:w="1577" w:type="dxa"/>
            <w:tcBorders>
              <w:top w:val="single" w:sz="4" w:space="0" w:color="auto"/>
              <w:left w:val="single" w:sz="4" w:space="0" w:color="auto"/>
              <w:bottom w:val="single" w:sz="4" w:space="0" w:color="auto"/>
              <w:right w:val="single" w:sz="4" w:space="0" w:color="auto"/>
            </w:tcBorders>
          </w:tcPr>
          <w:p w14:paraId="62C0B6D8" w14:textId="28C33458"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10</w:t>
            </w:r>
          </w:p>
        </w:tc>
        <w:tc>
          <w:tcPr>
            <w:tcW w:w="4880" w:type="dxa"/>
            <w:tcBorders>
              <w:top w:val="single" w:sz="4" w:space="0" w:color="auto"/>
              <w:left w:val="single" w:sz="4" w:space="0" w:color="auto"/>
              <w:bottom w:val="single" w:sz="4" w:space="0" w:color="auto"/>
              <w:right w:val="single" w:sz="4" w:space="0" w:color="auto"/>
            </w:tcBorders>
          </w:tcPr>
          <w:p w14:paraId="1633581C" w14:textId="63BBEB69"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DQB20; PJD41; PJD51; PJD98; PJD99; PJA10; BAA00; BAA05; BAA10; BAA20; BAA25; BAA30; BAA40; BAA50; BAA60; BAA99</w:t>
            </w:r>
          </w:p>
        </w:tc>
      </w:tr>
      <w:tr w:rsidR="007F1E61" w:rsidRPr="009A55BC" w14:paraId="61F3A9AA" w14:textId="77777777" w:rsidTr="009A55BC">
        <w:tc>
          <w:tcPr>
            <w:tcW w:w="1418" w:type="dxa"/>
            <w:tcBorders>
              <w:top w:val="single" w:sz="4" w:space="0" w:color="auto"/>
              <w:left w:val="single" w:sz="4" w:space="0" w:color="auto"/>
              <w:bottom w:val="single" w:sz="4" w:space="0" w:color="auto"/>
              <w:right w:val="single" w:sz="4" w:space="0" w:color="auto"/>
            </w:tcBorders>
          </w:tcPr>
          <w:p w14:paraId="71669146" w14:textId="00066E80"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13.</w:t>
            </w:r>
          </w:p>
        </w:tc>
        <w:tc>
          <w:tcPr>
            <w:tcW w:w="2332" w:type="dxa"/>
            <w:tcBorders>
              <w:top w:val="single" w:sz="4" w:space="0" w:color="auto"/>
              <w:left w:val="single" w:sz="4" w:space="0" w:color="auto"/>
              <w:bottom w:val="single" w:sz="4" w:space="0" w:color="auto"/>
              <w:right w:val="single" w:sz="4" w:space="0" w:color="auto"/>
            </w:tcBorders>
          </w:tcPr>
          <w:p w14:paraId="06E02803" w14:textId="760B7468"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Aknu, žultsceļu vai žultspūšļa ļaundabīgs audzējs (C22</w:t>
            </w:r>
            <w:r w:rsidR="00C3525A">
              <w:rPr>
                <w:rFonts w:ascii="Times New Roman" w:hAnsi="Times New Roman"/>
                <w:color w:val="000000"/>
                <w:sz w:val="24"/>
                <w:szCs w:val="24"/>
              </w:rPr>
              <w:t xml:space="preserve"> </w:t>
            </w:r>
            <w:r w:rsidRPr="009A55BC">
              <w:rPr>
                <w:rFonts w:ascii="Times New Roman" w:hAnsi="Times New Roman"/>
                <w:color w:val="000000"/>
                <w:sz w:val="24"/>
                <w:szCs w:val="24"/>
              </w:rPr>
              <w:t>-</w:t>
            </w:r>
            <w:r w:rsidR="00C3525A">
              <w:rPr>
                <w:rFonts w:ascii="Times New Roman" w:hAnsi="Times New Roman"/>
                <w:color w:val="000000"/>
                <w:sz w:val="24"/>
                <w:szCs w:val="24"/>
              </w:rPr>
              <w:t xml:space="preserve"> </w:t>
            </w:r>
            <w:r w:rsidRPr="009A55BC">
              <w:rPr>
                <w:rFonts w:ascii="Times New Roman" w:hAnsi="Times New Roman"/>
                <w:color w:val="000000"/>
                <w:sz w:val="24"/>
                <w:szCs w:val="24"/>
              </w:rPr>
              <w:t>C24)</w:t>
            </w:r>
          </w:p>
        </w:tc>
        <w:tc>
          <w:tcPr>
            <w:tcW w:w="1577" w:type="dxa"/>
            <w:tcBorders>
              <w:top w:val="single" w:sz="4" w:space="0" w:color="auto"/>
              <w:left w:val="single" w:sz="4" w:space="0" w:color="auto"/>
              <w:bottom w:val="single" w:sz="4" w:space="0" w:color="auto"/>
              <w:right w:val="single" w:sz="4" w:space="0" w:color="auto"/>
            </w:tcBorders>
          </w:tcPr>
          <w:p w14:paraId="606BBF0C" w14:textId="1297DAE7"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4</w:t>
            </w:r>
          </w:p>
        </w:tc>
        <w:tc>
          <w:tcPr>
            <w:tcW w:w="4880" w:type="dxa"/>
            <w:tcBorders>
              <w:top w:val="single" w:sz="4" w:space="0" w:color="auto"/>
              <w:left w:val="single" w:sz="4" w:space="0" w:color="auto"/>
              <w:bottom w:val="single" w:sz="4" w:space="0" w:color="auto"/>
              <w:right w:val="single" w:sz="4" w:space="0" w:color="auto"/>
            </w:tcBorders>
          </w:tcPr>
          <w:p w14:paraId="208D25E6" w14:textId="66B59227"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JJB00; JJB10; JJB20; JJB30; JJB40; JJB50; JJB53; JJB60; JJB71; JJB96; JKC10; JKC20; JKC30; JKC40; JKC50; JKC96; JKC97; JAH00; JAH01; JAH20; JKD00; JKD10; JAH21; JLC30; JLC40; PJD98; JLC30</w:t>
            </w:r>
          </w:p>
        </w:tc>
      </w:tr>
      <w:tr w:rsidR="007F1E61" w:rsidRPr="009A55BC" w14:paraId="009CD963" w14:textId="77777777" w:rsidTr="009A55BC">
        <w:tc>
          <w:tcPr>
            <w:tcW w:w="1418" w:type="dxa"/>
            <w:tcBorders>
              <w:top w:val="single" w:sz="4" w:space="0" w:color="auto"/>
              <w:left w:val="single" w:sz="4" w:space="0" w:color="auto"/>
              <w:bottom w:val="single" w:sz="4" w:space="0" w:color="auto"/>
              <w:right w:val="single" w:sz="4" w:space="0" w:color="auto"/>
            </w:tcBorders>
          </w:tcPr>
          <w:p w14:paraId="5BC0D90A" w14:textId="7C23BA8C"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14.</w:t>
            </w:r>
          </w:p>
        </w:tc>
        <w:tc>
          <w:tcPr>
            <w:tcW w:w="2332" w:type="dxa"/>
            <w:tcBorders>
              <w:top w:val="single" w:sz="4" w:space="0" w:color="auto"/>
              <w:left w:val="single" w:sz="4" w:space="0" w:color="auto"/>
              <w:bottom w:val="single" w:sz="4" w:space="0" w:color="auto"/>
              <w:right w:val="single" w:sz="4" w:space="0" w:color="auto"/>
            </w:tcBorders>
          </w:tcPr>
          <w:p w14:paraId="10533F42" w14:textId="4722D065"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Lūpu, mutes dobuma vai rīkles mutes daļas, aizdegunes, deguna dobuma, blakusdobumu, balsenes, trahejas ļaundabīgs audzējs (C00</w:t>
            </w:r>
            <w:r w:rsidR="00C3525A">
              <w:rPr>
                <w:rFonts w:ascii="Times New Roman" w:hAnsi="Times New Roman"/>
                <w:color w:val="000000"/>
                <w:sz w:val="24"/>
                <w:szCs w:val="24"/>
              </w:rPr>
              <w:t xml:space="preserve"> </w:t>
            </w:r>
            <w:r w:rsidRPr="009A55BC">
              <w:rPr>
                <w:rFonts w:ascii="Times New Roman" w:hAnsi="Times New Roman"/>
                <w:color w:val="000000"/>
                <w:sz w:val="24"/>
                <w:szCs w:val="24"/>
              </w:rPr>
              <w:t>- C14, C30</w:t>
            </w:r>
            <w:r w:rsidR="00C3525A">
              <w:rPr>
                <w:rFonts w:ascii="Times New Roman" w:hAnsi="Times New Roman"/>
                <w:color w:val="000000"/>
                <w:sz w:val="24"/>
                <w:szCs w:val="24"/>
              </w:rPr>
              <w:t xml:space="preserve"> - </w:t>
            </w:r>
            <w:r w:rsidRPr="009A55BC">
              <w:rPr>
                <w:rFonts w:ascii="Times New Roman" w:hAnsi="Times New Roman"/>
                <w:color w:val="000000"/>
                <w:sz w:val="24"/>
                <w:szCs w:val="24"/>
              </w:rPr>
              <w:t>C33)</w:t>
            </w:r>
          </w:p>
        </w:tc>
        <w:tc>
          <w:tcPr>
            <w:tcW w:w="1577" w:type="dxa"/>
            <w:tcBorders>
              <w:top w:val="single" w:sz="4" w:space="0" w:color="auto"/>
              <w:left w:val="single" w:sz="4" w:space="0" w:color="auto"/>
              <w:bottom w:val="single" w:sz="4" w:space="0" w:color="auto"/>
              <w:right w:val="single" w:sz="4" w:space="0" w:color="auto"/>
            </w:tcBorders>
          </w:tcPr>
          <w:p w14:paraId="64AE8CA8" w14:textId="59E4C4A2"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10</w:t>
            </w:r>
          </w:p>
        </w:tc>
        <w:tc>
          <w:tcPr>
            <w:tcW w:w="4880" w:type="dxa"/>
            <w:tcBorders>
              <w:top w:val="single" w:sz="4" w:space="0" w:color="auto"/>
              <w:left w:val="single" w:sz="4" w:space="0" w:color="auto"/>
              <w:bottom w:val="single" w:sz="4" w:space="0" w:color="auto"/>
              <w:right w:val="single" w:sz="4" w:space="0" w:color="auto"/>
            </w:tcBorders>
          </w:tcPr>
          <w:p w14:paraId="17570664" w14:textId="38586C85"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DQB20; DQB30; DQB40; DQB50; EAA30; EDB00; EDB10; EEB00; EEB10; EEB20; EEB99; EJB20; EJB30; EJB40; EJB50; EJB60; EJB99; EDB20; ELB30; ELB40; ELB50; ENB20; ENB30; PJD41; PJD51; PJD98; PJD99; PJA10; ENB50; ENB40; BCA30; EDB20; GBC00; GBC03; GBC06; GBC10; GBC96; DQB00</w:t>
            </w:r>
          </w:p>
        </w:tc>
      </w:tr>
      <w:tr w:rsidR="007F1E61" w:rsidRPr="009A55BC" w14:paraId="21251764" w14:textId="77777777" w:rsidTr="009A55BC">
        <w:tc>
          <w:tcPr>
            <w:tcW w:w="1418" w:type="dxa"/>
            <w:tcBorders>
              <w:top w:val="single" w:sz="4" w:space="0" w:color="auto"/>
              <w:left w:val="single" w:sz="4" w:space="0" w:color="auto"/>
              <w:bottom w:val="single" w:sz="4" w:space="0" w:color="auto"/>
              <w:right w:val="single" w:sz="4" w:space="0" w:color="auto"/>
            </w:tcBorders>
          </w:tcPr>
          <w:p w14:paraId="1C4C6124" w14:textId="1D5C4F57"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15.</w:t>
            </w:r>
          </w:p>
        </w:tc>
        <w:tc>
          <w:tcPr>
            <w:tcW w:w="2332" w:type="dxa"/>
            <w:tcBorders>
              <w:top w:val="single" w:sz="4" w:space="0" w:color="auto"/>
              <w:left w:val="single" w:sz="4" w:space="0" w:color="auto"/>
              <w:bottom w:val="single" w:sz="4" w:space="0" w:color="auto"/>
              <w:right w:val="single" w:sz="4" w:space="0" w:color="auto"/>
            </w:tcBorders>
          </w:tcPr>
          <w:p w14:paraId="39376212" w14:textId="5AA742EC"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sz w:val="24"/>
                <w:szCs w:val="24"/>
              </w:rPr>
              <w:t>Acs un acs palīgorgānu ļaundabīgi audzēji, h</w:t>
            </w:r>
            <w:r w:rsidR="00C3525A">
              <w:rPr>
                <w:rFonts w:ascii="Times New Roman" w:hAnsi="Times New Roman"/>
                <w:sz w:val="24"/>
                <w:szCs w:val="24"/>
              </w:rPr>
              <w:t>e</w:t>
            </w:r>
            <w:r w:rsidRPr="009A55BC">
              <w:rPr>
                <w:rFonts w:ascii="Times New Roman" w:hAnsi="Times New Roman"/>
                <w:sz w:val="24"/>
                <w:szCs w:val="24"/>
              </w:rPr>
              <w:t>mangioma un limfangioma (C69, D18)</w:t>
            </w:r>
          </w:p>
        </w:tc>
        <w:tc>
          <w:tcPr>
            <w:tcW w:w="1577" w:type="dxa"/>
            <w:tcBorders>
              <w:top w:val="single" w:sz="4" w:space="0" w:color="auto"/>
              <w:left w:val="single" w:sz="4" w:space="0" w:color="auto"/>
              <w:bottom w:val="single" w:sz="4" w:space="0" w:color="auto"/>
              <w:right w:val="single" w:sz="4" w:space="0" w:color="auto"/>
            </w:tcBorders>
          </w:tcPr>
          <w:p w14:paraId="1CBA102A" w14:textId="38863E54"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15</w:t>
            </w:r>
          </w:p>
        </w:tc>
        <w:tc>
          <w:tcPr>
            <w:tcW w:w="4880" w:type="dxa"/>
            <w:tcBorders>
              <w:top w:val="single" w:sz="4" w:space="0" w:color="auto"/>
              <w:left w:val="single" w:sz="4" w:space="0" w:color="auto"/>
              <w:bottom w:val="single" w:sz="4" w:space="0" w:color="auto"/>
              <w:right w:val="single" w:sz="4" w:space="0" w:color="auto"/>
            </w:tcBorders>
          </w:tcPr>
          <w:p w14:paraId="24BFCB8A" w14:textId="77777777"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CKE60; CKE65; CDC00; CEB00</w:t>
            </w:r>
          </w:p>
          <w:p w14:paraId="290ADF4B" w14:textId="73248314" w:rsidR="007F1E61" w:rsidRPr="009A55BC" w:rsidRDefault="007F1E61" w:rsidP="009A55BC">
            <w:pPr>
              <w:spacing w:line="240" w:lineRule="auto"/>
              <w:contextualSpacing/>
              <w:rPr>
                <w:rFonts w:ascii="Times New Roman" w:hAnsi="Times New Roman"/>
                <w:sz w:val="24"/>
                <w:szCs w:val="24"/>
              </w:rPr>
            </w:pPr>
          </w:p>
        </w:tc>
      </w:tr>
      <w:tr w:rsidR="007F1E61" w:rsidRPr="009A55BC" w14:paraId="537CEFE9" w14:textId="77777777" w:rsidTr="009A55BC">
        <w:tc>
          <w:tcPr>
            <w:tcW w:w="1418" w:type="dxa"/>
            <w:tcBorders>
              <w:top w:val="single" w:sz="4" w:space="0" w:color="auto"/>
              <w:left w:val="single" w:sz="4" w:space="0" w:color="auto"/>
              <w:bottom w:val="single" w:sz="4" w:space="0" w:color="auto"/>
              <w:right w:val="single" w:sz="4" w:space="0" w:color="auto"/>
            </w:tcBorders>
          </w:tcPr>
          <w:p w14:paraId="7EF54EDA" w14:textId="51F807D1"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16.</w:t>
            </w:r>
          </w:p>
        </w:tc>
        <w:tc>
          <w:tcPr>
            <w:tcW w:w="2332" w:type="dxa"/>
            <w:tcBorders>
              <w:top w:val="single" w:sz="4" w:space="0" w:color="auto"/>
              <w:left w:val="single" w:sz="4" w:space="0" w:color="auto"/>
              <w:bottom w:val="single" w:sz="4" w:space="0" w:color="auto"/>
              <w:right w:val="single" w:sz="4" w:space="0" w:color="auto"/>
            </w:tcBorders>
          </w:tcPr>
          <w:p w14:paraId="23DEFCC1" w14:textId="6CF0318A"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sz w:val="24"/>
                <w:szCs w:val="24"/>
              </w:rPr>
              <w:t>Sekundārs smadzeņu un smadzeņu apvalku ļaundabīgs audzējs (C79)</w:t>
            </w:r>
          </w:p>
        </w:tc>
        <w:tc>
          <w:tcPr>
            <w:tcW w:w="1577" w:type="dxa"/>
            <w:tcBorders>
              <w:top w:val="single" w:sz="4" w:space="0" w:color="auto"/>
              <w:left w:val="single" w:sz="4" w:space="0" w:color="auto"/>
              <w:bottom w:val="single" w:sz="4" w:space="0" w:color="auto"/>
              <w:right w:val="single" w:sz="4" w:space="0" w:color="auto"/>
            </w:tcBorders>
          </w:tcPr>
          <w:p w14:paraId="3C933FD2" w14:textId="5FCC79E2"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5</w:t>
            </w:r>
          </w:p>
        </w:tc>
        <w:tc>
          <w:tcPr>
            <w:tcW w:w="4880" w:type="dxa"/>
            <w:tcBorders>
              <w:top w:val="single" w:sz="4" w:space="0" w:color="auto"/>
              <w:left w:val="single" w:sz="4" w:space="0" w:color="auto"/>
              <w:bottom w:val="single" w:sz="4" w:space="0" w:color="auto"/>
              <w:right w:val="single" w:sz="4" w:space="0" w:color="auto"/>
            </w:tcBorders>
          </w:tcPr>
          <w:p w14:paraId="78042E9B" w14:textId="60FECEA5"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AAB00; AAB10; AAB20; AAB99; AAE00; AAE10; AAE20; AAE30; AAE40; AAE50; AAE99; AAK75; AAK99; ABB00; ABB10; ABB30; ABB99</w:t>
            </w:r>
          </w:p>
        </w:tc>
      </w:tr>
      <w:tr w:rsidR="007F1E61" w:rsidRPr="009A55BC" w14:paraId="76C2DF25" w14:textId="77777777" w:rsidTr="009A55BC">
        <w:tc>
          <w:tcPr>
            <w:tcW w:w="1418" w:type="dxa"/>
            <w:tcBorders>
              <w:top w:val="single" w:sz="4" w:space="0" w:color="auto"/>
              <w:left w:val="single" w:sz="4" w:space="0" w:color="auto"/>
              <w:bottom w:val="single" w:sz="4" w:space="0" w:color="auto"/>
              <w:right w:val="single" w:sz="4" w:space="0" w:color="auto"/>
            </w:tcBorders>
          </w:tcPr>
          <w:p w14:paraId="44AC662E" w14:textId="68C93066"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17.</w:t>
            </w:r>
          </w:p>
        </w:tc>
        <w:tc>
          <w:tcPr>
            <w:tcW w:w="2332" w:type="dxa"/>
            <w:tcBorders>
              <w:top w:val="single" w:sz="4" w:space="0" w:color="auto"/>
              <w:left w:val="single" w:sz="4" w:space="0" w:color="auto"/>
              <w:bottom w:val="single" w:sz="4" w:space="0" w:color="auto"/>
              <w:right w:val="single" w:sz="4" w:space="0" w:color="auto"/>
            </w:tcBorders>
          </w:tcPr>
          <w:p w14:paraId="24D8D731" w14:textId="5DBF2D60"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sz w:val="24"/>
                <w:szCs w:val="24"/>
              </w:rPr>
              <w:t>Sekundārs elpošanas un gremošanas orgānu ļaundabīgs audzējs (C78)</w:t>
            </w:r>
          </w:p>
        </w:tc>
        <w:tc>
          <w:tcPr>
            <w:tcW w:w="1577" w:type="dxa"/>
            <w:tcBorders>
              <w:top w:val="single" w:sz="4" w:space="0" w:color="auto"/>
              <w:left w:val="single" w:sz="4" w:space="0" w:color="auto"/>
              <w:bottom w:val="single" w:sz="4" w:space="0" w:color="auto"/>
              <w:right w:val="single" w:sz="4" w:space="0" w:color="auto"/>
            </w:tcBorders>
          </w:tcPr>
          <w:p w14:paraId="2DC43C88" w14:textId="08FBD374"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10</w:t>
            </w:r>
          </w:p>
        </w:tc>
        <w:tc>
          <w:tcPr>
            <w:tcW w:w="4880" w:type="dxa"/>
            <w:tcBorders>
              <w:top w:val="single" w:sz="4" w:space="0" w:color="auto"/>
              <w:left w:val="single" w:sz="4" w:space="0" w:color="auto"/>
              <w:bottom w:val="single" w:sz="4" w:space="0" w:color="auto"/>
              <w:right w:val="single" w:sz="4" w:space="0" w:color="auto"/>
            </w:tcBorders>
          </w:tcPr>
          <w:p w14:paraId="5C52FD0E" w14:textId="1A431135"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GAA31; GAC37; BCA30; DHB00; GAB10; GAC20; GAC43; GAE06; GDB10; GDB20; GDB21; GDB96; GDD00; GEB10; GEC24; JDE96; JFA73; JFB00; JJB10; JJB20; JJB30; JJB40; JJP</w:t>
            </w:r>
            <w:r w:rsidR="00040DAA">
              <w:rPr>
                <w:rFonts w:ascii="Times New Roman" w:hAnsi="Times New Roman"/>
                <w:sz w:val="24"/>
                <w:szCs w:val="24"/>
              </w:rPr>
              <w:t>E</w:t>
            </w:r>
            <w:r w:rsidRPr="009A55BC">
              <w:rPr>
                <w:rFonts w:ascii="Times New Roman" w:hAnsi="Times New Roman"/>
                <w:sz w:val="24"/>
                <w:szCs w:val="24"/>
              </w:rPr>
              <w:t>05; JKA20; JMA10; PJD98; PJD99; GDB11</w:t>
            </w:r>
          </w:p>
        </w:tc>
      </w:tr>
      <w:tr w:rsidR="00A72948" w:rsidRPr="009A55BC" w14:paraId="37838F67" w14:textId="77777777" w:rsidTr="009A55BC">
        <w:trPr>
          <w:trHeight w:val="274"/>
        </w:trPr>
        <w:tc>
          <w:tcPr>
            <w:tcW w:w="1418" w:type="dxa"/>
            <w:tcBorders>
              <w:top w:val="single" w:sz="4" w:space="0" w:color="auto"/>
              <w:left w:val="single" w:sz="4" w:space="0" w:color="auto"/>
              <w:right w:val="single" w:sz="4" w:space="0" w:color="auto"/>
            </w:tcBorders>
          </w:tcPr>
          <w:p w14:paraId="0EAA9B3F" w14:textId="766F4BFB" w:rsidR="00A72948" w:rsidRPr="009A55BC" w:rsidRDefault="00A72948" w:rsidP="009A55BC">
            <w:pPr>
              <w:spacing w:line="240" w:lineRule="auto"/>
              <w:rPr>
                <w:rFonts w:ascii="Times New Roman" w:hAnsi="Times New Roman"/>
                <w:sz w:val="24"/>
                <w:szCs w:val="24"/>
              </w:rPr>
            </w:pPr>
            <w:r w:rsidRPr="009A55BC">
              <w:rPr>
                <w:rFonts w:ascii="Times New Roman" w:hAnsi="Times New Roman"/>
                <w:sz w:val="24"/>
                <w:szCs w:val="24"/>
              </w:rPr>
              <w:t>18.</w:t>
            </w:r>
          </w:p>
        </w:tc>
        <w:tc>
          <w:tcPr>
            <w:tcW w:w="2332" w:type="dxa"/>
            <w:tcBorders>
              <w:top w:val="single" w:sz="4" w:space="0" w:color="auto"/>
              <w:left w:val="single" w:sz="4" w:space="0" w:color="auto"/>
              <w:right w:val="single" w:sz="4" w:space="0" w:color="auto"/>
            </w:tcBorders>
          </w:tcPr>
          <w:p w14:paraId="4212833F" w14:textId="0DA48C39" w:rsidR="00A72948" w:rsidRPr="009A55BC" w:rsidRDefault="00A72948" w:rsidP="009A55BC">
            <w:pPr>
              <w:spacing w:line="240" w:lineRule="auto"/>
              <w:rPr>
                <w:rFonts w:ascii="Times New Roman" w:hAnsi="Times New Roman"/>
                <w:sz w:val="24"/>
                <w:szCs w:val="24"/>
              </w:rPr>
            </w:pPr>
            <w:r w:rsidRPr="009A55BC">
              <w:rPr>
                <w:rFonts w:ascii="Times New Roman" w:hAnsi="Times New Roman"/>
                <w:sz w:val="24"/>
                <w:szCs w:val="24"/>
              </w:rPr>
              <w:t xml:space="preserve">Muskuļu un skeleta sistēmas ļaundabīgs un labdabīgs audzējs (C40 - C41.9; C49; </w:t>
            </w:r>
            <w:r w:rsidRPr="009A55BC">
              <w:rPr>
                <w:rFonts w:ascii="Times New Roman" w:hAnsi="Times New Roman"/>
                <w:sz w:val="24"/>
                <w:szCs w:val="24"/>
              </w:rPr>
              <w:lastRenderedPageBreak/>
              <w:t>C76; C79.5; C79.8; D16; D21; D48.0; D48.1)</w:t>
            </w:r>
          </w:p>
        </w:tc>
        <w:tc>
          <w:tcPr>
            <w:tcW w:w="1577" w:type="dxa"/>
            <w:tcBorders>
              <w:top w:val="single" w:sz="4" w:space="0" w:color="auto"/>
              <w:left w:val="single" w:sz="4" w:space="0" w:color="auto"/>
              <w:right w:val="single" w:sz="4" w:space="0" w:color="auto"/>
            </w:tcBorders>
          </w:tcPr>
          <w:p w14:paraId="5B41ED0A" w14:textId="7A48CD78" w:rsidR="00A72948" w:rsidRPr="009A55BC" w:rsidRDefault="00A72948" w:rsidP="009A55BC">
            <w:pPr>
              <w:spacing w:line="240" w:lineRule="auto"/>
              <w:contextualSpacing/>
              <w:rPr>
                <w:rFonts w:ascii="Times New Roman" w:hAnsi="Times New Roman"/>
                <w:sz w:val="24"/>
                <w:szCs w:val="24"/>
              </w:rPr>
            </w:pPr>
            <w:r w:rsidRPr="009A55BC">
              <w:rPr>
                <w:rFonts w:ascii="Times New Roman" w:hAnsi="Times New Roman"/>
                <w:sz w:val="24"/>
                <w:szCs w:val="24"/>
              </w:rPr>
              <w:lastRenderedPageBreak/>
              <w:t>7</w:t>
            </w:r>
          </w:p>
        </w:tc>
        <w:tc>
          <w:tcPr>
            <w:tcW w:w="4880" w:type="dxa"/>
            <w:tcBorders>
              <w:top w:val="single" w:sz="4" w:space="0" w:color="auto"/>
              <w:left w:val="single" w:sz="4" w:space="0" w:color="auto"/>
              <w:right w:val="single" w:sz="4" w:space="0" w:color="auto"/>
            </w:tcBorders>
          </w:tcPr>
          <w:p w14:paraId="0B2F7AB8" w14:textId="0A3CAD52" w:rsidR="00A72948" w:rsidRPr="009A55BC" w:rsidRDefault="00A72948" w:rsidP="009A55BC">
            <w:pPr>
              <w:spacing w:line="240" w:lineRule="auto"/>
              <w:contextualSpacing/>
              <w:rPr>
                <w:rFonts w:ascii="Times New Roman" w:hAnsi="Times New Roman"/>
                <w:sz w:val="24"/>
                <w:szCs w:val="24"/>
              </w:rPr>
            </w:pPr>
            <w:r w:rsidRPr="009A55BC">
              <w:rPr>
                <w:rFonts w:ascii="Times New Roman" w:hAnsi="Times New Roman"/>
                <w:sz w:val="24"/>
                <w:szCs w:val="24"/>
              </w:rPr>
              <w:t>NAA22; NAA30; NAA32; NAR</w:t>
            </w:r>
            <w:r w:rsidR="006B6ED8">
              <w:rPr>
                <w:rFonts w:ascii="Times New Roman" w:hAnsi="Times New Roman"/>
                <w:sz w:val="24"/>
                <w:szCs w:val="24"/>
              </w:rPr>
              <w:t>00-NAR96</w:t>
            </w:r>
            <w:r w:rsidRPr="009A55BC">
              <w:rPr>
                <w:rFonts w:ascii="Times New Roman" w:hAnsi="Times New Roman"/>
                <w:sz w:val="24"/>
                <w:szCs w:val="24"/>
              </w:rPr>
              <w:t>; NBA22; NBA30; NBA32; NBR</w:t>
            </w:r>
            <w:r w:rsidR="006B6ED8">
              <w:rPr>
                <w:rFonts w:ascii="Times New Roman" w:hAnsi="Times New Roman"/>
                <w:sz w:val="24"/>
                <w:szCs w:val="24"/>
              </w:rPr>
              <w:t>09</w:t>
            </w:r>
            <w:r w:rsidRPr="009A55BC">
              <w:rPr>
                <w:rFonts w:ascii="Times New Roman" w:hAnsi="Times New Roman"/>
                <w:sz w:val="24"/>
                <w:szCs w:val="24"/>
              </w:rPr>
              <w:t>;</w:t>
            </w:r>
            <w:r w:rsidR="006B6ED8">
              <w:rPr>
                <w:rFonts w:ascii="Times New Roman" w:hAnsi="Times New Roman"/>
                <w:sz w:val="24"/>
                <w:szCs w:val="24"/>
              </w:rPr>
              <w:t xml:space="preserve"> </w:t>
            </w:r>
            <w:r w:rsidR="006B6ED8" w:rsidRPr="5D5BDDBE">
              <w:rPr>
                <w:rFonts w:ascii="Times New Roman" w:hAnsi="Times New Roman"/>
                <w:color w:val="000000" w:themeColor="text1"/>
                <w:sz w:val="24"/>
                <w:szCs w:val="24"/>
              </w:rPr>
              <w:t>NBR19; NBR29; NBR39; NBR49; NBR59; NBR69; NBR79; NBR89; NBR99;</w:t>
            </w:r>
            <w:r w:rsidRPr="009A55BC">
              <w:rPr>
                <w:rFonts w:ascii="Times New Roman" w:hAnsi="Times New Roman"/>
                <w:sz w:val="24"/>
                <w:szCs w:val="24"/>
              </w:rPr>
              <w:t xml:space="preserve"> NCA22; NCA30; </w:t>
            </w:r>
            <w:r w:rsidRPr="009A55BC">
              <w:rPr>
                <w:rFonts w:ascii="Times New Roman" w:hAnsi="Times New Roman"/>
                <w:sz w:val="24"/>
                <w:szCs w:val="24"/>
              </w:rPr>
              <w:lastRenderedPageBreak/>
              <w:t>NCA32; NCR</w:t>
            </w:r>
            <w:r w:rsidR="006B6ED8">
              <w:rPr>
                <w:rFonts w:ascii="Times New Roman" w:hAnsi="Times New Roman"/>
                <w:sz w:val="24"/>
                <w:szCs w:val="24"/>
              </w:rPr>
              <w:t>09</w:t>
            </w:r>
            <w:r w:rsidRPr="009A55BC">
              <w:rPr>
                <w:rFonts w:ascii="Times New Roman" w:hAnsi="Times New Roman"/>
                <w:sz w:val="24"/>
                <w:szCs w:val="24"/>
              </w:rPr>
              <w:t xml:space="preserve">; </w:t>
            </w:r>
            <w:r w:rsidR="006B6ED8" w:rsidRPr="5D5BDDBE">
              <w:rPr>
                <w:rFonts w:ascii="Times New Roman" w:hAnsi="Times New Roman"/>
                <w:color w:val="000000" w:themeColor="text1"/>
                <w:sz w:val="24"/>
                <w:szCs w:val="24"/>
              </w:rPr>
              <w:t>NCR19; NCR29; NCR39; NCR49; NCR59; NCR69; NCR79; NCR99;</w:t>
            </w:r>
            <w:r w:rsidR="006B6ED8">
              <w:rPr>
                <w:rFonts w:ascii="Times New Roman" w:hAnsi="Times New Roman"/>
                <w:color w:val="000000" w:themeColor="text1"/>
                <w:sz w:val="24"/>
                <w:szCs w:val="24"/>
              </w:rPr>
              <w:t xml:space="preserve"> </w:t>
            </w:r>
            <w:r w:rsidRPr="009A55BC">
              <w:rPr>
                <w:rFonts w:ascii="Times New Roman" w:hAnsi="Times New Roman"/>
                <w:sz w:val="24"/>
                <w:szCs w:val="24"/>
              </w:rPr>
              <w:t>NDA22; NDA30; NDA32; NDR</w:t>
            </w:r>
            <w:r w:rsidR="006B6ED8">
              <w:rPr>
                <w:rFonts w:ascii="Times New Roman" w:hAnsi="Times New Roman"/>
                <w:sz w:val="24"/>
                <w:szCs w:val="24"/>
              </w:rPr>
              <w:t>09</w:t>
            </w:r>
            <w:r w:rsidRPr="009A55BC">
              <w:rPr>
                <w:rFonts w:ascii="Times New Roman" w:hAnsi="Times New Roman"/>
                <w:sz w:val="24"/>
                <w:szCs w:val="24"/>
              </w:rPr>
              <w:t>;</w:t>
            </w:r>
            <w:r w:rsidR="006B6ED8">
              <w:rPr>
                <w:rFonts w:ascii="Times New Roman" w:hAnsi="Times New Roman"/>
                <w:sz w:val="24"/>
                <w:szCs w:val="24"/>
              </w:rPr>
              <w:t xml:space="preserve"> </w:t>
            </w:r>
            <w:r w:rsidR="006B6ED8" w:rsidRPr="5D5BDDBE">
              <w:rPr>
                <w:rFonts w:ascii="Times New Roman" w:hAnsi="Times New Roman"/>
                <w:color w:val="000000" w:themeColor="text1"/>
                <w:sz w:val="24"/>
                <w:szCs w:val="24"/>
              </w:rPr>
              <w:t>NDR19; NDR29; NDR39; NDR49; NDR59; NDR69; NDR79; NDR99;</w:t>
            </w:r>
            <w:r w:rsidRPr="009A55BC">
              <w:rPr>
                <w:rFonts w:ascii="Times New Roman" w:hAnsi="Times New Roman"/>
                <w:sz w:val="24"/>
                <w:szCs w:val="24"/>
              </w:rPr>
              <w:t xml:space="preserve"> NEA22; NEA30; NEA32; NER</w:t>
            </w:r>
            <w:r w:rsidR="006B6ED8">
              <w:rPr>
                <w:rFonts w:ascii="Times New Roman" w:hAnsi="Times New Roman"/>
                <w:sz w:val="24"/>
                <w:szCs w:val="24"/>
              </w:rPr>
              <w:t>09</w:t>
            </w:r>
            <w:r w:rsidRPr="009A55BC">
              <w:rPr>
                <w:rFonts w:ascii="Times New Roman" w:hAnsi="Times New Roman"/>
                <w:sz w:val="24"/>
                <w:szCs w:val="24"/>
              </w:rPr>
              <w:t xml:space="preserve">; </w:t>
            </w:r>
            <w:r w:rsidR="006B6ED8" w:rsidRPr="5D5BDDBE">
              <w:rPr>
                <w:rFonts w:ascii="Times New Roman" w:hAnsi="Times New Roman"/>
                <w:color w:val="000000" w:themeColor="text1"/>
                <w:sz w:val="24"/>
                <w:szCs w:val="24"/>
              </w:rPr>
              <w:t>NER19; NER29; NER39; NER49; NER59; NER69; NER79; NER99;</w:t>
            </w:r>
            <w:r w:rsidR="006B6ED8">
              <w:rPr>
                <w:rFonts w:ascii="Times New Roman" w:hAnsi="Times New Roman"/>
                <w:sz w:val="24"/>
                <w:szCs w:val="24"/>
              </w:rPr>
              <w:t xml:space="preserve"> </w:t>
            </w:r>
            <w:r w:rsidRPr="009A55BC">
              <w:rPr>
                <w:rFonts w:ascii="Times New Roman" w:hAnsi="Times New Roman"/>
                <w:sz w:val="24"/>
                <w:szCs w:val="24"/>
              </w:rPr>
              <w:t>NFA22; NFA30; NFA32; NFR</w:t>
            </w:r>
            <w:r w:rsidR="006B6ED8">
              <w:rPr>
                <w:rFonts w:ascii="Times New Roman" w:hAnsi="Times New Roman"/>
                <w:sz w:val="24"/>
                <w:szCs w:val="24"/>
              </w:rPr>
              <w:t>09</w:t>
            </w:r>
            <w:r w:rsidRPr="009A55BC">
              <w:rPr>
                <w:rFonts w:ascii="Times New Roman" w:hAnsi="Times New Roman"/>
                <w:sz w:val="24"/>
                <w:szCs w:val="24"/>
              </w:rPr>
              <w:t>;</w:t>
            </w:r>
            <w:r w:rsidR="006B6ED8">
              <w:rPr>
                <w:rFonts w:ascii="Times New Roman" w:hAnsi="Times New Roman"/>
                <w:sz w:val="24"/>
                <w:szCs w:val="24"/>
              </w:rPr>
              <w:t xml:space="preserve"> </w:t>
            </w:r>
            <w:r w:rsidR="006B6ED8" w:rsidRPr="5D5BDDBE">
              <w:rPr>
                <w:rFonts w:ascii="Times New Roman" w:hAnsi="Times New Roman"/>
                <w:color w:val="000000" w:themeColor="text1"/>
                <w:sz w:val="24"/>
                <w:szCs w:val="24"/>
              </w:rPr>
              <w:t>NFR19; NFR29; NFR39; NFR49; NFR59; NFR69; NFR79; NFR89; NFR99;</w:t>
            </w:r>
            <w:r w:rsidRPr="009A55BC">
              <w:rPr>
                <w:rFonts w:ascii="Times New Roman" w:hAnsi="Times New Roman"/>
                <w:sz w:val="24"/>
                <w:szCs w:val="24"/>
              </w:rPr>
              <w:t xml:space="preserve"> NGA22; NGA30; NGA32; NGR</w:t>
            </w:r>
            <w:r w:rsidR="006B6ED8">
              <w:rPr>
                <w:rFonts w:ascii="Times New Roman" w:hAnsi="Times New Roman"/>
                <w:sz w:val="24"/>
                <w:szCs w:val="24"/>
              </w:rPr>
              <w:t>09</w:t>
            </w:r>
            <w:r w:rsidRPr="009A55BC">
              <w:rPr>
                <w:rFonts w:ascii="Times New Roman" w:hAnsi="Times New Roman"/>
                <w:sz w:val="24"/>
                <w:szCs w:val="24"/>
              </w:rPr>
              <w:t>;</w:t>
            </w:r>
            <w:r w:rsidR="006B6ED8">
              <w:rPr>
                <w:rFonts w:ascii="Times New Roman" w:hAnsi="Times New Roman"/>
                <w:sz w:val="24"/>
                <w:szCs w:val="24"/>
              </w:rPr>
              <w:t xml:space="preserve"> </w:t>
            </w:r>
            <w:r w:rsidR="006B6ED8" w:rsidRPr="5D5BDDBE">
              <w:rPr>
                <w:rFonts w:ascii="Times New Roman" w:hAnsi="Times New Roman"/>
                <w:color w:val="000000" w:themeColor="text1"/>
                <w:sz w:val="24"/>
                <w:szCs w:val="24"/>
              </w:rPr>
              <w:t>NGR19; NGR29; NGR39; NGR49; NGR59; NGR69; NGR79; NGR99;</w:t>
            </w:r>
            <w:r w:rsidRPr="009A55BC">
              <w:rPr>
                <w:rFonts w:ascii="Times New Roman" w:hAnsi="Times New Roman"/>
                <w:sz w:val="24"/>
                <w:szCs w:val="24"/>
              </w:rPr>
              <w:t xml:space="preserve"> NHA22; NHA30; NHA32; NHR</w:t>
            </w:r>
            <w:r w:rsidR="006B6ED8">
              <w:rPr>
                <w:rFonts w:ascii="Times New Roman" w:hAnsi="Times New Roman"/>
                <w:sz w:val="24"/>
                <w:szCs w:val="24"/>
              </w:rPr>
              <w:t>09</w:t>
            </w:r>
            <w:r w:rsidRPr="009A55BC">
              <w:rPr>
                <w:rFonts w:ascii="Times New Roman" w:hAnsi="Times New Roman"/>
                <w:sz w:val="24"/>
                <w:szCs w:val="24"/>
              </w:rPr>
              <w:t xml:space="preserve">; </w:t>
            </w:r>
            <w:r w:rsidR="006B6ED8" w:rsidRPr="5D5BDDBE">
              <w:rPr>
                <w:rFonts w:ascii="Times New Roman" w:hAnsi="Times New Roman"/>
                <w:color w:val="000000" w:themeColor="text1"/>
                <w:sz w:val="24"/>
                <w:szCs w:val="24"/>
              </w:rPr>
              <w:t xml:space="preserve">NHR19; NHR29; NHR39; NHR49; NHR59; NHR69; NHR79; NHR99; </w:t>
            </w:r>
            <w:r w:rsidRPr="009A55BC">
              <w:rPr>
                <w:rFonts w:ascii="Times New Roman" w:hAnsi="Times New Roman"/>
                <w:sz w:val="24"/>
                <w:szCs w:val="24"/>
              </w:rPr>
              <w:t>ACA19; ACA99; NDL50; PBA99; PJD4</w:t>
            </w:r>
            <w:r w:rsidR="006B6ED8">
              <w:rPr>
                <w:rFonts w:ascii="Times New Roman" w:hAnsi="Times New Roman"/>
                <w:sz w:val="24"/>
                <w:szCs w:val="24"/>
              </w:rPr>
              <w:t>1-</w:t>
            </w:r>
            <w:r w:rsidRPr="009A55BC">
              <w:rPr>
                <w:rFonts w:ascii="Times New Roman" w:hAnsi="Times New Roman"/>
                <w:sz w:val="24"/>
                <w:szCs w:val="24"/>
              </w:rPr>
              <w:t>PJD45</w:t>
            </w:r>
            <w:r w:rsidR="00077306" w:rsidRPr="009A55BC">
              <w:rPr>
                <w:rFonts w:ascii="Times New Roman" w:hAnsi="Times New Roman"/>
                <w:sz w:val="24"/>
                <w:szCs w:val="24"/>
              </w:rPr>
              <w:t xml:space="preserve">; </w:t>
            </w:r>
            <w:r w:rsidRPr="009A55BC">
              <w:rPr>
                <w:rFonts w:ascii="Times New Roman" w:hAnsi="Times New Roman"/>
                <w:sz w:val="24"/>
                <w:szCs w:val="24"/>
              </w:rPr>
              <w:t>QAE10</w:t>
            </w:r>
            <w:r w:rsidR="00077306" w:rsidRPr="009A55BC">
              <w:rPr>
                <w:rFonts w:ascii="Times New Roman" w:hAnsi="Times New Roman"/>
                <w:sz w:val="24"/>
                <w:szCs w:val="24"/>
              </w:rPr>
              <w:t>;</w:t>
            </w:r>
            <w:r w:rsidRPr="009A55BC">
              <w:rPr>
                <w:rFonts w:ascii="Times New Roman" w:hAnsi="Times New Roman"/>
                <w:sz w:val="24"/>
                <w:szCs w:val="24"/>
              </w:rPr>
              <w:t xml:space="preserve"> QBE10</w:t>
            </w:r>
            <w:r w:rsidR="00077306" w:rsidRPr="009A55BC">
              <w:rPr>
                <w:rFonts w:ascii="Times New Roman" w:hAnsi="Times New Roman"/>
                <w:sz w:val="24"/>
                <w:szCs w:val="24"/>
              </w:rPr>
              <w:t>;</w:t>
            </w:r>
            <w:r w:rsidRPr="009A55BC">
              <w:rPr>
                <w:rFonts w:ascii="Times New Roman" w:hAnsi="Times New Roman"/>
                <w:sz w:val="24"/>
                <w:szCs w:val="24"/>
              </w:rPr>
              <w:t xml:space="preserve"> QCE10</w:t>
            </w:r>
            <w:r w:rsidR="00077306" w:rsidRPr="009A55BC">
              <w:rPr>
                <w:rFonts w:ascii="Times New Roman" w:hAnsi="Times New Roman"/>
                <w:sz w:val="24"/>
                <w:szCs w:val="24"/>
              </w:rPr>
              <w:t>;</w:t>
            </w:r>
            <w:r w:rsidRPr="009A55BC">
              <w:rPr>
                <w:rFonts w:ascii="Times New Roman" w:hAnsi="Times New Roman"/>
                <w:sz w:val="24"/>
                <w:szCs w:val="24"/>
              </w:rPr>
              <w:t xml:space="preserve"> QCE20</w:t>
            </w:r>
            <w:r w:rsidR="00077306" w:rsidRPr="009A55BC">
              <w:rPr>
                <w:rFonts w:ascii="Times New Roman" w:hAnsi="Times New Roman"/>
                <w:sz w:val="24"/>
                <w:szCs w:val="24"/>
              </w:rPr>
              <w:t>;</w:t>
            </w:r>
            <w:r w:rsidRPr="009A55BC">
              <w:rPr>
                <w:rFonts w:ascii="Times New Roman" w:hAnsi="Times New Roman"/>
                <w:sz w:val="24"/>
                <w:szCs w:val="24"/>
              </w:rPr>
              <w:t xml:space="preserve"> QDE10</w:t>
            </w:r>
            <w:r w:rsidR="00077306" w:rsidRPr="009A55BC">
              <w:rPr>
                <w:rFonts w:ascii="Times New Roman" w:hAnsi="Times New Roman"/>
                <w:sz w:val="24"/>
                <w:szCs w:val="24"/>
              </w:rPr>
              <w:t>;</w:t>
            </w:r>
            <w:r w:rsidRPr="009A55BC">
              <w:rPr>
                <w:rFonts w:ascii="Times New Roman" w:hAnsi="Times New Roman"/>
                <w:sz w:val="24"/>
                <w:szCs w:val="24"/>
              </w:rPr>
              <w:t xml:space="preserve"> QDE20</w:t>
            </w:r>
            <w:r w:rsidR="00077306" w:rsidRPr="009A55BC">
              <w:rPr>
                <w:rFonts w:ascii="Times New Roman" w:hAnsi="Times New Roman"/>
                <w:sz w:val="24"/>
                <w:szCs w:val="24"/>
              </w:rPr>
              <w:t>;</w:t>
            </w:r>
            <w:r w:rsidRPr="009A55BC">
              <w:rPr>
                <w:rFonts w:ascii="Times New Roman" w:hAnsi="Times New Roman"/>
                <w:sz w:val="24"/>
                <w:szCs w:val="24"/>
              </w:rPr>
              <w:t xml:space="preserve"> TPH15</w:t>
            </w:r>
            <w:r w:rsidR="00077306" w:rsidRPr="009A55BC">
              <w:rPr>
                <w:rFonts w:ascii="Times New Roman" w:hAnsi="Times New Roman"/>
                <w:sz w:val="24"/>
                <w:szCs w:val="24"/>
              </w:rPr>
              <w:t>;</w:t>
            </w:r>
            <w:r w:rsidRPr="009A55BC">
              <w:rPr>
                <w:rFonts w:ascii="Times New Roman" w:hAnsi="Times New Roman"/>
                <w:sz w:val="24"/>
                <w:szCs w:val="24"/>
              </w:rPr>
              <w:t xml:space="preserve"> TPH20</w:t>
            </w:r>
            <w:r w:rsidR="00077306" w:rsidRPr="009A55BC">
              <w:rPr>
                <w:rFonts w:ascii="Times New Roman" w:hAnsi="Times New Roman"/>
                <w:sz w:val="24"/>
                <w:szCs w:val="24"/>
              </w:rPr>
              <w:t>;</w:t>
            </w:r>
            <w:r w:rsidRPr="009A55BC">
              <w:rPr>
                <w:rFonts w:ascii="Times New Roman" w:hAnsi="Times New Roman"/>
                <w:sz w:val="24"/>
                <w:szCs w:val="24"/>
              </w:rPr>
              <w:t xml:space="preserve"> UGC12</w:t>
            </w:r>
            <w:r w:rsidR="00077306" w:rsidRPr="009A55BC">
              <w:rPr>
                <w:rFonts w:ascii="Times New Roman" w:hAnsi="Times New Roman"/>
                <w:sz w:val="24"/>
                <w:szCs w:val="24"/>
              </w:rPr>
              <w:t>;</w:t>
            </w:r>
            <w:r w:rsidRPr="009A55BC">
              <w:rPr>
                <w:rFonts w:ascii="Times New Roman" w:hAnsi="Times New Roman"/>
                <w:sz w:val="24"/>
                <w:szCs w:val="24"/>
              </w:rPr>
              <w:t xml:space="preserve"> ZZA00</w:t>
            </w:r>
            <w:r w:rsidR="00A81C85" w:rsidRPr="009A55BC">
              <w:rPr>
                <w:rFonts w:ascii="Times New Roman" w:hAnsi="Times New Roman"/>
                <w:sz w:val="24"/>
                <w:szCs w:val="24"/>
              </w:rPr>
              <w:t>;</w:t>
            </w:r>
            <w:r w:rsidRPr="009A55BC">
              <w:rPr>
                <w:rFonts w:ascii="Times New Roman" w:hAnsi="Times New Roman"/>
                <w:sz w:val="24"/>
                <w:szCs w:val="24"/>
              </w:rPr>
              <w:t xml:space="preserve"> ZZQ00</w:t>
            </w:r>
            <w:r w:rsidR="00A81C85" w:rsidRPr="009A55BC">
              <w:rPr>
                <w:rFonts w:ascii="Times New Roman" w:hAnsi="Times New Roman"/>
                <w:sz w:val="24"/>
                <w:szCs w:val="24"/>
              </w:rPr>
              <w:t>;</w:t>
            </w:r>
            <w:r w:rsidRPr="009A55BC">
              <w:rPr>
                <w:rFonts w:ascii="Times New Roman" w:hAnsi="Times New Roman"/>
                <w:sz w:val="24"/>
                <w:szCs w:val="24"/>
              </w:rPr>
              <w:t xml:space="preserve"> ZZQ20</w:t>
            </w:r>
            <w:r w:rsidR="00A81C85" w:rsidRPr="009A55BC">
              <w:rPr>
                <w:rFonts w:ascii="Times New Roman" w:hAnsi="Times New Roman"/>
                <w:sz w:val="24"/>
                <w:szCs w:val="24"/>
              </w:rPr>
              <w:t>;</w:t>
            </w:r>
            <w:r w:rsidRPr="009A55BC">
              <w:rPr>
                <w:rFonts w:ascii="Times New Roman" w:hAnsi="Times New Roman"/>
                <w:sz w:val="24"/>
                <w:szCs w:val="24"/>
              </w:rPr>
              <w:t xml:space="preserve"> ZZR00</w:t>
            </w:r>
            <w:r w:rsidR="00A81C85" w:rsidRPr="009A55BC">
              <w:rPr>
                <w:rFonts w:ascii="Times New Roman" w:hAnsi="Times New Roman"/>
                <w:sz w:val="24"/>
                <w:szCs w:val="24"/>
              </w:rPr>
              <w:t>;</w:t>
            </w:r>
            <w:r w:rsidRPr="009A55BC">
              <w:rPr>
                <w:rFonts w:ascii="Times New Roman" w:hAnsi="Times New Roman"/>
                <w:sz w:val="24"/>
                <w:szCs w:val="24"/>
              </w:rPr>
              <w:t xml:space="preserve"> ZZS00</w:t>
            </w:r>
            <w:r w:rsidR="00A81C85" w:rsidRPr="009A55BC">
              <w:rPr>
                <w:rFonts w:ascii="Times New Roman" w:hAnsi="Times New Roman"/>
                <w:sz w:val="24"/>
                <w:szCs w:val="24"/>
              </w:rPr>
              <w:t>;</w:t>
            </w:r>
            <w:r w:rsidRPr="009A55BC">
              <w:rPr>
                <w:rFonts w:ascii="Times New Roman" w:hAnsi="Times New Roman"/>
                <w:sz w:val="24"/>
                <w:szCs w:val="24"/>
              </w:rPr>
              <w:t xml:space="preserve"> ZZS10</w:t>
            </w:r>
          </w:p>
        </w:tc>
      </w:tr>
      <w:bookmarkEnd w:id="4"/>
    </w:tbl>
    <w:p w14:paraId="281F0956" w14:textId="77777777" w:rsidR="005D7B31" w:rsidRPr="009A55BC" w:rsidRDefault="005D7B31" w:rsidP="005D7B31">
      <w:pPr>
        <w:pStyle w:val="tv213"/>
        <w:spacing w:before="0" w:beforeAutospacing="0"/>
        <w:jc w:val="both"/>
      </w:pPr>
    </w:p>
    <w:p w14:paraId="744EEEA1" w14:textId="77777777" w:rsidR="00955933" w:rsidRPr="009A55BC" w:rsidRDefault="00955933" w:rsidP="005D7B31">
      <w:pPr>
        <w:pStyle w:val="tv213"/>
        <w:spacing w:before="0" w:beforeAutospacing="0"/>
        <w:jc w:val="both"/>
      </w:pPr>
    </w:p>
    <w:p w14:paraId="12727EE3" w14:textId="77777777" w:rsidR="00955933" w:rsidRPr="009A55BC" w:rsidRDefault="00955933" w:rsidP="005D7B31">
      <w:pPr>
        <w:pStyle w:val="tv213"/>
        <w:spacing w:before="0" w:beforeAutospacing="0"/>
        <w:jc w:val="both"/>
      </w:pPr>
    </w:p>
    <w:sectPr w:rsidR="00955933" w:rsidRPr="009A55BC" w:rsidSect="00547D80">
      <w:headerReference w:type="default" r:id="rId8"/>
      <w:footerReference w:type="default" r:id="rId9"/>
      <w:pgSz w:w="11906" w:h="16838"/>
      <w:pgMar w:top="851" w:right="1276" w:bottom="85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E4351" w14:textId="77777777" w:rsidR="00E86E84" w:rsidRDefault="00E86E84" w:rsidP="00ED330E">
      <w:pPr>
        <w:spacing w:after="0" w:line="240" w:lineRule="auto"/>
      </w:pPr>
      <w:r>
        <w:separator/>
      </w:r>
    </w:p>
  </w:endnote>
  <w:endnote w:type="continuationSeparator" w:id="0">
    <w:p w14:paraId="1C268A84" w14:textId="77777777" w:rsidR="00E86E84" w:rsidRDefault="00E86E84" w:rsidP="00ED3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267210"/>
      <w:docPartObj>
        <w:docPartGallery w:val="Page Numbers (Bottom of Page)"/>
        <w:docPartUnique/>
      </w:docPartObj>
    </w:sdtPr>
    <w:sdtEndPr>
      <w:rPr>
        <w:noProof/>
      </w:rPr>
    </w:sdtEndPr>
    <w:sdtContent>
      <w:p w14:paraId="4B856BE3" w14:textId="56C4B94D" w:rsidR="00124971" w:rsidRDefault="001249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9219EB" w14:textId="77777777" w:rsidR="00124971" w:rsidRDefault="00124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54E02" w14:textId="77777777" w:rsidR="00E86E84" w:rsidRDefault="00E86E84" w:rsidP="00ED330E">
      <w:pPr>
        <w:spacing w:after="0" w:line="240" w:lineRule="auto"/>
      </w:pPr>
      <w:r>
        <w:separator/>
      </w:r>
    </w:p>
  </w:footnote>
  <w:footnote w:type="continuationSeparator" w:id="0">
    <w:p w14:paraId="09E65F39" w14:textId="77777777" w:rsidR="00E86E84" w:rsidRDefault="00E86E84" w:rsidP="00ED3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DB7E" w14:textId="670ED00B" w:rsidR="00DD0B42" w:rsidRPr="00DD0B42" w:rsidRDefault="00DD0B42" w:rsidP="00DD0B42">
    <w:pPr>
      <w:pStyle w:val="Header"/>
      <w:jc w:val="right"/>
      <w:rPr>
        <w:rFonts w:ascii="Times New Roman" w:hAnsi="Times New Roman"/>
      </w:rPr>
    </w:pPr>
    <w:r w:rsidRPr="00DD0B42">
      <w:rPr>
        <w:rFonts w:ascii="Times New Roman" w:hAnsi="Times New Roman"/>
        <w:i/>
        <w:iCs/>
      </w:rPr>
      <w:t>spēkā no 202</w:t>
    </w:r>
    <w:r w:rsidR="008D239B">
      <w:rPr>
        <w:rFonts w:ascii="Times New Roman" w:hAnsi="Times New Roman"/>
        <w:i/>
        <w:iCs/>
      </w:rPr>
      <w:t>6</w:t>
    </w:r>
    <w:r w:rsidRPr="00DD0B42">
      <w:rPr>
        <w:rFonts w:ascii="Times New Roman" w:hAnsi="Times New Roman"/>
        <w:i/>
        <w:iCs/>
      </w:rPr>
      <w:t xml:space="preserve">. gada </w:t>
    </w:r>
    <w:r w:rsidR="008D239B">
      <w:rPr>
        <w:rFonts w:ascii="Times New Roman" w:hAnsi="Times New Roman"/>
        <w:i/>
        <w:iCs/>
      </w:rPr>
      <w:t xml:space="preserve">1. </w:t>
    </w:r>
    <w:r w:rsidR="00676170">
      <w:rPr>
        <w:rFonts w:ascii="Times New Roman" w:hAnsi="Times New Roman"/>
        <w:i/>
        <w:iCs/>
      </w:rPr>
      <w:t>jūnija</w:t>
    </w:r>
  </w:p>
  <w:p w14:paraId="318C0172" w14:textId="77777777" w:rsidR="00DD0B42" w:rsidRPr="00DD0B42" w:rsidRDefault="00DD0B42">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F9A"/>
    <w:multiLevelType w:val="hybridMultilevel"/>
    <w:tmpl w:val="77268090"/>
    <w:lvl w:ilvl="0" w:tplc="C152E83A">
      <w:numFmt w:val="bullet"/>
      <w:lvlText w:val=""/>
      <w:lvlJc w:val="left"/>
      <w:pPr>
        <w:ind w:left="1364" w:hanging="360"/>
      </w:pPr>
      <w:rPr>
        <w:rFonts w:ascii="Symbol" w:eastAsiaTheme="minorHAnsi" w:hAnsi="Symbol" w:cs="Times New Roman"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1" w15:restartNumberingAfterBreak="0">
    <w:nsid w:val="015D7A17"/>
    <w:multiLevelType w:val="hybridMultilevel"/>
    <w:tmpl w:val="B9269A98"/>
    <w:lvl w:ilvl="0" w:tplc="9CE8DE6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 w15:restartNumberingAfterBreak="0">
    <w:nsid w:val="173032EA"/>
    <w:multiLevelType w:val="multilevel"/>
    <w:tmpl w:val="1534ADA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1E54AE"/>
    <w:multiLevelType w:val="hybridMultilevel"/>
    <w:tmpl w:val="A22037BA"/>
    <w:lvl w:ilvl="0" w:tplc="C074B45A">
      <w:start w:val="1"/>
      <w:numFmt w:val="decimal"/>
      <w:lvlText w:val="%1)"/>
      <w:lvlJc w:val="left"/>
      <w:pPr>
        <w:ind w:left="720" w:hanging="360"/>
      </w:pPr>
    </w:lvl>
    <w:lvl w:ilvl="1" w:tplc="6A12CAE4">
      <w:start w:val="1"/>
      <w:numFmt w:val="decimal"/>
      <w:lvlText w:val="%2."/>
      <w:lvlJc w:val="left"/>
      <w:pPr>
        <w:ind w:left="1440" w:hanging="360"/>
      </w:pPr>
      <w:rPr>
        <w:rFonts w:hint="default"/>
      </w:rPr>
    </w:lvl>
    <w:lvl w:ilvl="2" w:tplc="4476F3FE" w:tentative="1">
      <w:start w:val="1"/>
      <w:numFmt w:val="lowerRoman"/>
      <w:lvlText w:val="%3."/>
      <w:lvlJc w:val="right"/>
      <w:pPr>
        <w:ind w:left="2160" w:hanging="180"/>
      </w:pPr>
    </w:lvl>
    <w:lvl w:ilvl="3" w:tplc="220A1EDC" w:tentative="1">
      <w:start w:val="1"/>
      <w:numFmt w:val="decimal"/>
      <w:lvlText w:val="%4."/>
      <w:lvlJc w:val="left"/>
      <w:pPr>
        <w:ind w:left="2880" w:hanging="360"/>
      </w:pPr>
    </w:lvl>
    <w:lvl w:ilvl="4" w:tplc="3544C1BC" w:tentative="1">
      <w:start w:val="1"/>
      <w:numFmt w:val="lowerLetter"/>
      <w:lvlText w:val="%5."/>
      <w:lvlJc w:val="left"/>
      <w:pPr>
        <w:ind w:left="3600" w:hanging="360"/>
      </w:pPr>
    </w:lvl>
    <w:lvl w:ilvl="5" w:tplc="F5E01E56" w:tentative="1">
      <w:start w:val="1"/>
      <w:numFmt w:val="lowerRoman"/>
      <w:lvlText w:val="%6."/>
      <w:lvlJc w:val="right"/>
      <w:pPr>
        <w:ind w:left="4320" w:hanging="180"/>
      </w:pPr>
    </w:lvl>
    <w:lvl w:ilvl="6" w:tplc="193A3CCA" w:tentative="1">
      <w:start w:val="1"/>
      <w:numFmt w:val="decimal"/>
      <w:lvlText w:val="%7."/>
      <w:lvlJc w:val="left"/>
      <w:pPr>
        <w:ind w:left="5040" w:hanging="360"/>
      </w:pPr>
    </w:lvl>
    <w:lvl w:ilvl="7" w:tplc="8F589F30" w:tentative="1">
      <w:start w:val="1"/>
      <w:numFmt w:val="lowerLetter"/>
      <w:lvlText w:val="%8."/>
      <w:lvlJc w:val="left"/>
      <w:pPr>
        <w:ind w:left="5760" w:hanging="360"/>
      </w:pPr>
    </w:lvl>
    <w:lvl w:ilvl="8" w:tplc="7D6E7FF4" w:tentative="1">
      <w:start w:val="1"/>
      <w:numFmt w:val="lowerRoman"/>
      <w:lvlText w:val="%9."/>
      <w:lvlJc w:val="right"/>
      <w:pPr>
        <w:ind w:left="6480" w:hanging="180"/>
      </w:pPr>
    </w:lvl>
  </w:abstractNum>
  <w:abstractNum w:abstractNumId="4" w15:restartNumberingAfterBreak="0">
    <w:nsid w:val="1B221691"/>
    <w:multiLevelType w:val="hybridMultilevel"/>
    <w:tmpl w:val="DBA60372"/>
    <w:lvl w:ilvl="0" w:tplc="0426000D">
      <w:start w:val="1"/>
      <w:numFmt w:val="bullet"/>
      <w:lvlText w:val=""/>
      <w:lvlJc w:val="left"/>
      <w:pPr>
        <w:ind w:left="1506" w:hanging="360"/>
      </w:pPr>
      <w:rPr>
        <w:rFonts w:ascii="Wingdings" w:hAnsi="Wingdings" w:hint="default"/>
      </w:rPr>
    </w:lvl>
    <w:lvl w:ilvl="1" w:tplc="04260003" w:tentative="1">
      <w:start w:val="1"/>
      <w:numFmt w:val="bullet"/>
      <w:lvlText w:val="o"/>
      <w:lvlJc w:val="left"/>
      <w:pPr>
        <w:ind w:left="2226" w:hanging="360"/>
      </w:pPr>
      <w:rPr>
        <w:rFonts w:ascii="Courier New" w:hAnsi="Courier New" w:cs="Courier New" w:hint="default"/>
      </w:rPr>
    </w:lvl>
    <w:lvl w:ilvl="2" w:tplc="04260005" w:tentative="1">
      <w:start w:val="1"/>
      <w:numFmt w:val="bullet"/>
      <w:lvlText w:val=""/>
      <w:lvlJc w:val="left"/>
      <w:pPr>
        <w:ind w:left="2946" w:hanging="360"/>
      </w:pPr>
      <w:rPr>
        <w:rFonts w:ascii="Wingdings" w:hAnsi="Wingdings" w:hint="default"/>
      </w:rPr>
    </w:lvl>
    <w:lvl w:ilvl="3" w:tplc="04260001" w:tentative="1">
      <w:start w:val="1"/>
      <w:numFmt w:val="bullet"/>
      <w:lvlText w:val=""/>
      <w:lvlJc w:val="left"/>
      <w:pPr>
        <w:ind w:left="3666" w:hanging="360"/>
      </w:pPr>
      <w:rPr>
        <w:rFonts w:ascii="Symbol" w:hAnsi="Symbol" w:hint="default"/>
      </w:rPr>
    </w:lvl>
    <w:lvl w:ilvl="4" w:tplc="04260003" w:tentative="1">
      <w:start w:val="1"/>
      <w:numFmt w:val="bullet"/>
      <w:lvlText w:val="o"/>
      <w:lvlJc w:val="left"/>
      <w:pPr>
        <w:ind w:left="4386" w:hanging="360"/>
      </w:pPr>
      <w:rPr>
        <w:rFonts w:ascii="Courier New" w:hAnsi="Courier New" w:cs="Courier New" w:hint="default"/>
      </w:rPr>
    </w:lvl>
    <w:lvl w:ilvl="5" w:tplc="04260005" w:tentative="1">
      <w:start w:val="1"/>
      <w:numFmt w:val="bullet"/>
      <w:lvlText w:val=""/>
      <w:lvlJc w:val="left"/>
      <w:pPr>
        <w:ind w:left="5106" w:hanging="360"/>
      </w:pPr>
      <w:rPr>
        <w:rFonts w:ascii="Wingdings" w:hAnsi="Wingdings" w:hint="default"/>
      </w:rPr>
    </w:lvl>
    <w:lvl w:ilvl="6" w:tplc="04260001" w:tentative="1">
      <w:start w:val="1"/>
      <w:numFmt w:val="bullet"/>
      <w:lvlText w:val=""/>
      <w:lvlJc w:val="left"/>
      <w:pPr>
        <w:ind w:left="5826" w:hanging="360"/>
      </w:pPr>
      <w:rPr>
        <w:rFonts w:ascii="Symbol" w:hAnsi="Symbol" w:hint="default"/>
      </w:rPr>
    </w:lvl>
    <w:lvl w:ilvl="7" w:tplc="04260003" w:tentative="1">
      <w:start w:val="1"/>
      <w:numFmt w:val="bullet"/>
      <w:lvlText w:val="o"/>
      <w:lvlJc w:val="left"/>
      <w:pPr>
        <w:ind w:left="6546" w:hanging="360"/>
      </w:pPr>
      <w:rPr>
        <w:rFonts w:ascii="Courier New" w:hAnsi="Courier New" w:cs="Courier New" w:hint="default"/>
      </w:rPr>
    </w:lvl>
    <w:lvl w:ilvl="8" w:tplc="04260005" w:tentative="1">
      <w:start w:val="1"/>
      <w:numFmt w:val="bullet"/>
      <w:lvlText w:val=""/>
      <w:lvlJc w:val="left"/>
      <w:pPr>
        <w:ind w:left="7266" w:hanging="360"/>
      </w:pPr>
      <w:rPr>
        <w:rFonts w:ascii="Wingdings" w:hAnsi="Wingdings" w:hint="default"/>
      </w:rPr>
    </w:lvl>
  </w:abstractNum>
  <w:abstractNum w:abstractNumId="5" w15:restartNumberingAfterBreak="0">
    <w:nsid w:val="1D143818"/>
    <w:multiLevelType w:val="hybridMultilevel"/>
    <w:tmpl w:val="0980F604"/>
    <w:lvl w:ilvl="0" w:tplc="F8D01064">
      <w:numFmt w:val="bullet"/>
      <w:lvlText w:val=""/>
      <w:lvlJc w:val="left"/>
      <w:pPr>
        <w:ind w:left="1080" w:hanging="360"/>
      </w:pPr>
      <w:rPr>
        <w:rFonts w:ascii="Symbol" w:eastAsiaTheme="minorHAns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1E1E1D39"/>
    <w:multiLevelType w:val="hybridMultilevel"/>
    <w:tmpl w:val="8DF68452"/>
    <w:lvl w:ilvl="0" w:tplc="DCA8DDF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F566DB0"/>
    <w:multiLevelType w:val="hybridMultilevel"/>
    <w:tmpl w:val="8E3040CC"/>
    <w:lvl w:ilvl="0" w:tplc="04260001">
      <w:start w:val="1"/>
      <w:numFmt w:val="bullet"/>
      <w:lvlText w:val=""/>
      <w:lvlJc w:val="left"/>
      <w:pPr>
        <w:ind w:left="1648" w:hanging="360"/>
      </w:pPr>
      <w:rPr>
        <w:rFonts w:ascii="Symbol" w:hAnsi="Symbol" w:hint="default"/>
      </w:rPr>
    </w:lvl>
    <w:lvl w:ilvl="1" w:tplc="04260003" w:tentative="1">
      <w:start w:val="1"/>
      <w:numFmt w:val="bullet"/>
      <w:lvlText w:val="o"/>
      <w:lvlJc w:val="left"/>
      <w:pPr>
        <w:ind w:left="2368" w:hanging="360"/>
      </w:pPr>
      <w:rPr>
        <w:rFonts w:ascii="Courier New" w:hAnsi="Courier New" w:cs="Courier New" w:hint="default"/>
      </w:rPr>
    </w:lvl>
    <w:lvl w:ilvl="2" w:tplc="04260005" w:tentative="1">
      <w:start w:val="1"/>
      <w:numFmt w:val="bullet"/>
      <w:lvlText w:val=""/>
      <w:lvlJc w:val="left"/>
      <w:pPr>
        <w:ind w:left="3088" w:hanging="360"/>
      </w:pPr>
      <w:rPr>
        <w:rFonts w:ascii="Wingdings" w:hAnsi="Wingdings" w:hint="default"/>
      </w:rPr>
    </w:lvl>
    <w:lvl w:ilvl="3" w:tplc="04260001" w:tentative="1">
      <w:start w:val="1"/>
      <w:numFmt w:val="bullet"/>
      <w:lvlText w:val=""/>
      <w:lvlJc w:val="left"/>
      <w:pPr>
        <w:ind w:left="3808" w:hanging="360"/>
      </w:pPr>
      <w:rPr>
        <w:rFonts w:ascii="Symbol" w:hAnsi="Symbol" w:hint="default"/>
      </w:rPr>
    </w:lvl>
    <w:lvl w:ilvl="4" w:tplc="04260003" w:tentative="1">
      <w:start w:val="1"/>
      <w:numFmt w:val="bullet"/>
      <w:lvlText w:val="o"/>
      <w:lvlJc w:val="left"/>
      <w:pPr>
        <w:ind w:left="4528" w:hanging="360"/>
      </w:pPr>
      <w:rPr>
        <w:rFonts w:ascii="Courier New" w:hAnsi="Courier New" w:cs="Courier New" w:hint="default"/>
      </w:rPr>
    </w:lvl>
    <w:lvl w:ilvl="5" w:tplc="04260005" w:tentative="1">
      <w:start w:val="1"/>
      <w:numFmt w:val="bullet"/>
      <w:lvlText w:val=""/>
      <w:lvlJc w:val="left"/>
      <w:pPr>
        <w:ind w:left="5248" w:hanging="360"/>
      </w:pPr>
      <w:rPr>
        <w:rFonts w:ascii="Wingdings" w:hAnsi="Wingdings" w:hint="default"/>
      </w:rPr>
    </w:lvl>
    <w:lvl w:ilvl="6" w:tplc="04260001" w:tentative="1">
      <w:start w:val="1"/>
      <w:numFmt w:val="bullet"/>
      <w:lvlText w:val=""/>
      <w:lvlJc w:val="left"/>
      <w:pPr>
        <w:ind w:left="5968" w:hanging="360"/>
      </w:pPr>
      <w:rPr>
        <w:rFonts w:ascii="Symbol" w:hAnsi="Symbol" w:hint="default"/>
      </w:rPr>
    </w:lvl>
    <w:lvl w:ilvl="7" w:tplc="04260003" w:tentative="1">
      <w:start w:val="1"/>
      <w:numFmt w:val="bullet"/>
      <w:lvlText w:val="o"/>
      <w:lvlJc w:val="left"/>
      <w:pPr>
        <w:ind w:left="6688" w:hanging="360"/>
      </w:pPr>
      <w:rPr>
        <w:rFonts w:ascii="Courier New" w:hAnsi="Courier New" w:cs="Courier New" w:hint="default"/>
      </w:rPr>
    </w:lvl>
    <w:lvl w:ilvl="8" w:tplc="04260005" w:tentative="1">
      <w:start w:val="1"/>
      <w:numFmt w:val="bullet"/>
      <w:lvlText w:val=""/>
      <w:lvlJc w:val="left"/>
      <w:pPr>
        <w:ind w:left="7408" w:hanging="360"/>
      </w:pPr>
      <w:rPr>
        <w:rFonts w:ascii="Wingdings" w:hAnsi="Wingdings" w:hint="default"/>
      </w:rPr>
    </w:lvl>
  </w:abstractNum>
  <w:abstractNum w:abstractNumId="8" w15:restartNumberingAfterBreak="0">
    <w:nsid w:val="233016A5"/>
    <w:multiLevelType w:val="hybridMultilevel"/>
    <w:tmpl w:val="CF38310A"/>
    <w:lvl w:ilvl="0" w:tplc="92C634E0">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8DE0797"/>
    <w:multiLevelType w:val="hybridMultilevel"/>
    <w:tmpl w:val="BA3056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9CB606B"/>
    <w:multiLevelType w:val="hybridMultilevel"/>
    <w:tmpl w:val="7B5035E6"/>
    <w:lvl w:ilvl="0" w:tplc="284C3592">
      <w:numFmt w:val="bullet"/>
      <w:lvlText w:val=""/>
      <w:lvlJc w:val="left"/>
      <w:pPr>
        <w:ind w:left="1724" w:hanging="360"/>
      </w:pPr>
      <w:rPr>
        <w:rFonts w:ascii="Symbol" w:eastAsiaTheme="minorHAnsi" w:hAnsi="Symbol" w:cs="Times New Roman" w:hint="default"/>
      </w:rPr>
    </w:lvl>
    <w:lvl w:ilvl="1" w:tplc="04260003" w:tentative="1">
      <w:start w:val="1"/>
      <w:numFmt w:val="bullet"/>
      <w:lvlText w:val="o"/>
      <w:lvlJc w:val="left"/>
      <w:pPr>
        <w:ind w:left="2444" w:hanging="360"/>
      </w:pPr>
      <w:rPr>
        <w:rFonts w:ascii="Courier New" w:hAnsi="Courier New" w:cs="Courier New" w:hint="default"/>
      </w:rPr>
    </w:lvl>
    <w:lvl w:ilvl="2" w:tplc="04260005" w:tentative="1">
      <w:start w:val="1"/>
      <w:numFmt w:val="bullet"/>
      <w:lvlText w:val=""/>
      <w:lvlJc w:val="left"/>
      <w:pPr>
        <w:ind w:left="3164" w:hanging="360"/>
      </w:pPr>
      <w:rPr>
        <w:rFonts w:ascii="Wingdings" w:hAnsi="Wingdings" w:hint="default"/>
      </w:rPr>
    </w:lvl>
    <w:lvl w:ilvl="3" w:tplc="04260001" w:tentative="1">
      <w:start w:val="1"/>
      <w:numFmt w:val="bullet"/>
      <w:lvlText w:val=""/>
      <w:lvlJc w:val="left"/>
      <w:pPr>
        <w:ind w:left="3884" w:hanging="360"/>
      </w:pPr>
      <w:rPr>
        <w:rFonts w:ascii="Symbol" w:hAnsi="Symbol" w:hint="default"/>
      </w:rPr>
    </w:lvl>
    <w:lvl w:ilvl="4" w:tplc="04260003" w:tentative="1">
      <w:start w:val="1"/>
      <w:numFmt w:val="bullet"/>
      <w:lvlText w:val="o"/>
      <w:lvlJc w:val="left"/>
      <w:pPr>
        <w:ind w:left="4604" w:hanging="360"/>
      </w:pPr>
      <w:rPr>
        <w:rFonts w:ascii="Courier New" w:hAnsi="Courier New" w:cs="Courier New" w:hint="default"/>
      </w:rPr>
    </w:lvl>
    <w:lvl w:ilvl="5" w:tplc="04260005" w:tentative="1">
      <w:start w:val="1"/>
      <w:numFmt w:val="bullet"/>
      <w:lvlText w:val=""/>
      <w:lvlJc w:val="left"/>
      <w:pPr>
        <w:ind w:left="5324" w:hanging="360"/>
      </w:pPr>
      <w:rPr>
        <w:rFonts w:ascii="Wingdings" w:hAnsi="Wingdings" w:hint="default"/>
      </w:rPr>
    </w:lvl>
    <w:lvl w:ilvl="6" w:tplc="04260001" w:tentative="1">
      <w:start w:val="1"/>
      <w:numFmt w:val="bullet"/>
      <w:lvlText w:val=""/>
      <w:lvlJc w:val="left"/>
      <w:pPr>
        <w:ind w:left="6044" w:hanging="360"/>
      </w:pPr>
      <w:rPr>
        <w:rFonts w:ascii="Symbol" w:hAnsi="Symbol" w:hint="default"/>
      </w:rPr>
    </w:lvl>
    <w:lvl w:ilvl="7" w:tplc="04260003" w:tentative="1">
      <w:start w:val="1"/>
      <w:numFmt w:val="bullet"/>
      <w:lvlText w:val="o"/>
      <w:lvlJc w:val="left"/>
      <w:pPr>
        <w:ind w:left="6764" w:hanging="360"/>
      </w:pPr>
      <w:rPr>
        <w:rFonts w:ascii="Courier New" w:hAnsi="Courier New" w:cs="Courier New" w:hint="default"/>
      </w:rPr>
    </w:lvl>
    <w:lvl w:ilvl="8" w:tplc="04260005" w:tentative="1">
      <w:start w:val="1"/>
      <w:numFmt w:val="bullet"/>
      <w:lvlText w:val=""/>
      <w:lvlJc w:val="left"/>
      <w:pPr>
        <w:ind w:left="7484" w:hanging="360"/>
      </w:pPr>
      <w:rPr>
        <w:rFonts w:ascii="Wingdings" w:hAnsi="Wingdings" w:hint="default"/>
      </w:rPr>
    </w:lvl>
  </w:abstractNum>
  <w:abstractNum w:abstractNumId="11" w15:restartNumberingAfterBreak="0">
    <w:nsid w:val="3B822A77"/>
    <w:multiLevelType w:val="hybridMultilevel"/>
    <w:tmpl w:val="1F1CEF3E"/>
    <w:lvl w:ilvl="0" w:tplc="0426000F">
      <w:start w:val="3"/>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3334B5"/>
    <w:multiLevelType w:val="hybridMultilevel"/>
    <w:tmpl w:val="B2E8FD2E"/>
    <w:lvl w:ilvl="0" w:tplc="3B7ED910">
      <w:start w:val="16"/>
      <w:numFmt w:val="bullet"/>
      <w:lvlText w:val="-"/>
      <w:lvlJc w:val="left"/>
      <w:pPr>
        <w:ind w:left="1211" w:hanging="360"/>
      </w:pPr>
      <w:rPr>
        <w:rFonts w:ascii="Times New Roman" w:eastAsia="Times New Roman" w:hAnsi="Times New Roman"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3" w15:restartNumberingAfterBreak="0">
    <w:nsid w:val="3FF4344A"/>
    <w:multiLevelType w:val="hybridMultilevel"/>
    <w:tmpl w:val="19D20760"/>
    <w:lvl w:ilvl="0" w:tplc="3E9AE7DA">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07621B"/>
    <w:multiLevelType w:val="multilevel"/>
    <w:tmpl w:val="2D768BF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370830"/>
    <w:multiLevelType w:val="hybridMultilevel"/>
    <w:tmpl w:val="4184E010"/>
    <w:lvl w:ilvl="0" w:tplc="E6444A28">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69C1FFD"/>
    <w:multiLevelType w:val="hybridMultilevel"/>
    <w:tmpl w:val="AF967C1A"/>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5FD4A25E">
      <w:numFmt w:val="bullet"/>
      <w:lvlText w:val="-"/>
      <w:lvlJc w:val="left"/>
      <w:pPr>
        <w:ind w:left="2880" w:hanging="360"/>
      </w:pPr>
      <w:rPr>
        <w:rFonts w:ascii="Times New Roman" w:eastAsia="Times New Roman" w:hAnsi="Times New Roman" w:cs="Times New Roman" w:hint="default"/>
        <w:color w:val="000000"/>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F040EED"/>
    <w:multiLevelType w:val="hybridMultilevel"/>
    <w:tmpl w:val="3872F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A827B2"/>
    <w:multiLevelType w:val="hybridMultilevel"/>
    <w:tmpl w:val="A630F252"/>
    <w:lvl w:ilvl="0" w:tplc="B0622E90">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45F18BB"/>
    <w:multiLevelType w:val="hybridMultilevel"/>
    <w:tmpl w:val="BF34C460"/>
    <w:lvl w:ilvl="0" w:tplc="8F02A738">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7A9383F"/>
    <w:multiLevelType w:val="hybridMultilevel"/>
    <w:tmpl w:val="11BCABBE"/>
    <w:lvl w:ilvl="0" w:tplc="7484827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1" w15:restartNumberingAfterBreak="0">
    <w:nsid w:val="5D3F125F"/>
    <w:multiLevelType w:val="multilevel"/>
    <w:tmpl w:val="AE66143A"/>
    <w:lvl w:ilvl="0">
      <w:start w:val="1"/>
      <w:numFmt w:val="decimal"/>
      <w:lvlText w:val="%1."/>
      <w:lvlJc w:val="left"/>
      <w:pPr>
        <w:ind w:left="644" w:hanging="360"/>
      </w:pPr>
      <w:rPr>
        <w:rFonts w:ascii="Times New Roman" w:eastAsia="Calibri" w:hAnsi="Times New Roman" w:cs="Times New Roman"/>
        <w:b w:val="0"/>
      </w:rPr>
    </w:lvl>
    <w:lvl w:ilvl="1">
      <w:start w:val="1"/>
      <w:numFmt w:val="decimal"/>
      <w:isLgl/>
      <w:lvlText w:val="%1.%2."/>
      <w:lvlJc w:val="left"/>
      <w:pPr>
        <w:ind w:left="5180"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2" w15:restartNumberingAfterBreak="0">
    <w:nsid w:val="62DD0230"/>
    <w:multiLevelType w:val="hybridMultilevel"/>
    <w:tmpl w:val="F4725940"/>
    <w:lvl w:ilvl="0" w:tplc="58F4E630">
      <w:start w:val="1"/>
      <w:numFmt w:val="upperLetter"/>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7E34258"/>
    <w:multiLevelType w:val="hybridMultilevel"/>
    <w:tmpl w:val="DA92B2B6"/>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4" w15:restartNumberingAfterBreak="0">
    <w:nsid w:val="6B806B9D"/>
    <w:multiLevelType w:val="hybridMultilevel"/>
    <w:tmpl w:val="BF1AFBD4"/>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5FD4A25E">
      <w:numFmt w:val="bullet"/>
      <w:lvlText w:val="-"/>
      <w:lvlJc w:val="left"/>
      <w:pPr>
        <w:ind w:left="2880" w:hanging="360"/>
      </w:pPr>
      <w:rPr>
        <w:rFonts w:ascii="Times New Roman" w:eastAsia="Times New Roman" w:hAnsi="Times New Roman" w:cs="Times New Roman" w:hint="default"/>
        <w:color w:val="000000"/>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CC4B88"/>
    <w:multiLevelType w:val="hybridMultilevel"/>
    <w:tmpl w:val="C07CD68A"/>
    <w:lvl w:ilvl="0" w:tplc="990023FC">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5A80736"/>
    <w:multiLevelType w:val="hybridMultilevel"/>
    <w:tmpl w:val="AF967C1A"/>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5FD4A25E">
      <w:numFmt w:val="bullet"/>
      <w:lvlText w:val="-"/>
      <w:lvlJc w:val="left"/>
      <w:pPr>
        <w:ind w:left="2880" w:hanging="360"/>
      </w:pPr>
      <w:rPr>
        <w:rFonts w:ascii="Times New Roman" w:eastAsia="Times New Roman" w:hAnsi="Times New Roman" w:cs="Times New Roman" w:hint="default"/>
        <w:color w:val="000000"/>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78E63CE"/>
    <w:multiLevelType w:val="hybridMultilevel"/>
    <w:tmpl w:val="109A2280"/>
    <w:lvl w:ilvl="0" w:tplc="4050BD62">
      <w:numFmt w:val="bullet"/>
      <w:lvlText w:val=""/>
      <w:lvlJc w:val="left"/>
      <w:pPr>
        <w:ind w:left="1080" w:hanging="360"/>
      </w:pPr>
      <w:rPr>
        <w:rFonts w:ascii="Symbol" w:eastAsiaTheme="minorHAns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7B14146B"/>
    <w:multiLevelType w:val="hybridMultilevel"/>
    <w:tmpl w:val="A2924706"/>
    <w:lvl w:ilvl="0" w:tplc="437EC824">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45014619">
    <w:abstractNumId w:val="17"/>
  </w:num>
  <w:num w:numId="2" w16cid:durableId="1925064375">
    <w:abstractNumId w:val="8"/>
  </w:num>
  <w:num w:numId="3" w16cid:durableId="1698701851">
    <w:abstractNumId w:val="24"/>
  </w:num>
  <w:num w:numId="4" w16cid:durableId="2016105167">
    <w:abstractNumId w:val="1"/>
  </w:num>
  <w:num w:numId="5" w16cid:durableId="298927247">
    <w:abstractNumId w:val="12"/>
  </w:num>
  <w:num w:numId="6" w16cid:durableId="1636832979">
    <w:abstractNumId w:val="20"/>
  </w:num>
  <w:num w:numId="7" w16cid:durableId="1431313968">
    <w:abstractNumId w:val="16"/>
  </w:num>
  <w:num w:numId="8" w16cid:durableId="647825142">
    <w:abstractNumId w:val="26"/>
  </w:num>
  <w:num w:numId="9" w16cid:durableId="659580973">
    <w:abstractNumId w:val="21"/>
  </w:num>
  <w:num w:numId="10" w16cid:durableId="914364878">
    <w:abstractNumId w:val="14"/>
  </w:num>
  <w:num w:numId="11" w16cid:durableId="189078084">
    <w:abstractNumId w:val="0"/>
  </w:num>
  <w:num w:numId="12" w16cid:durableId="1728602660">
    <w:abstractNumId w:val="10"/>
  </w:num>
  <w:num w:numId="13" w16cid:durableId="1772705166">
    <w:abstractNumId w:val="6"/>
  </w:num>
  <w:num w:numId="14" w16cid:durableId="1055277222">
    <w:abstractNumId w:val="5"/>
  </w:num>
  <w:num w:numId="15" w16cid:durableId="13190574">
    <w:abstractNumId w:val="15"/>
  </w:num>
  <w:num w:numId="16" w16cid:durableId="1721317740">
    <w:abstractNumId w:val="27"/>
  </w:num>
  <w:num w:numId="17" w16cid:durableId="1174803667">
    <w:abstractNumId w:val="28"/>
  </w:num>
  <w:num w:numId="18" w16cid:durableId="1194267413">
    <w:abstractNumId w:val="22"/>
  </w:num>
  <w:num w:numId="19" w16cid:durableId="453794951">
    <w:abstractNumId w:val="19"/>
  </w:num>
  <w:num w:numId="20" w16cid:durableId="1004356159">
    <w:abstractNumId w:val="18"/>
  </w:num>
  <w:num w:numId="21" w16cid:durableId="1381054176">
    <w:abstractNumId w:val="25"/>
  </w:num>
  <w:num w:numId="22" w16cid:durableId="1089041073">
    <w:abstractNumId w:val="21"/>
  </w:num>
  <w:num w:numId="23" w16cid:durableId="789124648">
    <w:abstractNumId w:val="13"/>
  </w:num>
  <w:num w:numId="24" w16cid:durableId="663515294">
    <w:abstractNumId w:val="7"/>
  </w:num>
  <w:num w:numId="25" w16cid:durableId="1356614087">
    <w:abstractNumId w:val="11"/>
  </w:num>
  <w:num w:numId="26" w16cid:durableId="729109348">
    <w:abstractNumId w:val="23"/>
  </w:num>
  <w:num w:numId="27" w16cid:durableId="1109083037">
    <w:abstractNumId w:val="4"/>
  </w:num>
  <w:num w:numId="28" w16cid:durableId="1254781207">
    <w:abstractNumId w:val="2"/>
  </w:num>
  <w:num w:numId="29" w16cid:durableId="2046327477">
    <w:abstractNumId w:val="3"/>
  </w:num>
  <w:num w:numId="30" w16cid:durableId="8830997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F90"/>
    <w:rsid w:val="0000351B"/>
    <w:rsid w:val="000038C9"/>
    <w:rsid w:val="00013933"/>
    <w:rsid w:val="00017F07"/>
    <w:rsid w:val="00020955"/>
    <w:rsid w:val="00023F8D"/>
    <w:rsid w:val="000256DB"/>
    <w:rsid w:val="000275A3"/>
    <w:rsid w:val="00034330"/>
    <w:rsid w:val="0003452B"/>
    <w:rsid w:val="000350CC"/>
    <w:rsid w:val="00040DAA"/>
    <w:rsid w:val="0004146E"/>
    <w:rsid w:val="00045BE3"/>
    <w:rsid w:val="00055AE0"/>
    <w:rsid w:val="00065FC6"/>
    <w:rsid w:val="0007242C"/>
    <w:rsid w:val="00077306"/>
    <w:rsid w:val="0007762A"/>
    <w:rsid w:val="000801F2"/>
    <w:rsid w:val="000806A2"/>
    <w:rsid w:val="000857B9"/>
    <w:rsid w:val="000857CB"/>
    <w:rsid w:val="00087DDE"/>
    <w:rsid w:val="00092621"/>
    <w:rsid w:val="000A587A"/>
    <w:rsid w:val="000A7DDD"/>
    <w:rsid w:val="000B2400"/>
    <w:rsid w:val="000B2AEF"/>
    <w:rsid w:val="000B63EF"/>
    <w:rsid w:val="000B6A3A"/>
    <w:rsid w:val="000C0668"/>
    <w:rsid w:val="000C0B72"/>
    <w:rsid w:val="000C4460"/>
    <w:rsid w:val="000C5C46"/>
    <w:rsid w:val="000C6AEA"/>
    <w:rsid w:val="000C6E04"/>
    <w:rsid w:val="000D65A9"/>
    <w:rsid w:val="000D696E"/>
    <w:rsid w:val="000D6B03"/>
    <w:rsid w:val="000E224A"/>
    <w:rsid w:val="000E3041"/>
    <w:rsid w:val="000E6889"/>
    <w:rsid w:val="000E77C8"/>
    <w:rsid w:val="000F2874"/>
    <w:rsid w:val="000F59F6"/>
    <w:rsid w:val="00103052"/>
    <w:rsid w:val="00103E95"/>
    <w:rsid w:val="00103ED3"/>
    <w:rsid w:val="0011341A"/>
    <w:rsid w:val="00121B47"/>
    <w:rsid w:val="00124971"/>
    <w:rsid w:val="00125E3D"/>
    <w:rsid w:val="00125FF2"/>
    <w:rsid w:val="00126401"/>
    <w:rsid w:val="00126876"/>
    <w:rsid w:val="0014604A"/>
    <w:rsid w:val="001503C1"/>
    <w:rsid w:val="001538CC"/>
    <w:rsid w:val="00157DD5"/>
    <w:rsid w:val="0016397B"/>
    <w:rsid w:val="00166380"/>
    <w:rsid w:val="00176BC7"/>
    <w:rsid w:val="00183302"/>
    <w:rsid w:val="00185313"/>
    <w:rsid w:val="00186DE3"/>
    <w:rsid w:val="0018715D"/>
    <w:rsid w:val="0019203C"/>
    <w:rsid w:val="001951D5"/>
    <w:rsid w:val="001976F9"/>
    <w:rsid w:val="001A16F3"/>
    <w:rsid w:val="001A3484"/>
    <w:rsid w:val="001A6E0C"/>
    <w:rsid w:val="001A772C"/>
    <w:rsid w:val="001B2602"/>
    <w:rsid w:val="001B408A"/>
    <w:rsid w:val="001C0F45"/>
    <w:rsid w:val="001C224B"/>
    <w:rsid w:val="001C7239"/>
    <w:rsid w:val="001D784B"/>
    <w:rsid w:val="001D7F16"/>
    <w:rsid w:val="001E5348"/>
    <w:rsid w:val="001E5C9D"/>
    <w:rsid w:val="001F33D5"/>
    <w:rsid w:val="001F5845"/>
    <w:rsid w:val="002077E4"/>
    <w:rsid w:val="0021037C"/>
    <w:rsid w:val="002110B0"/>
    <w:rsid w:val="00213471"/>
    <w:rsid w:val="002137DD"/>
    <w:rsid w:val="00213DFB"/>
    <w:rsid w:val="00215AE4"/>
    <w:rsid w:val="002232CB"/>
    <w:rsid w:val="00223678"/>
    <w:rsid w:val="0022423E"/>
    <w:rsid w:val="0022581A"/>
    <w:rsid w:val="002304CB"/>
    <w:rsid w:val="002342BE"/>
    <w:rsid w:val="002361A9"/>
    <w:rsid w:val="00236909"/>
    <w:rsid w:val="00237015"/>
    <w:rsid w:val="00240E3E"/>
    <w:rsid w:val="002446F3"/>
    <w:rsid w:val="002707C8"/>
    <w:rsid w:val="002737F1"/>
    <w:rsid w:val="002749C8"/>
    <w:rsid w:val="0027520F"/>
    <w:rsid w:val="00281709"/>
    <w:rsid w:val="00281E28"/>
    <w:rsid w:val="00286D51"/>
    <w:rsid w:val="00287DF8"/>
    <w:rsid w:val="002937FF"/>
    <w:rsid w:val="00296B1E"/>
    <w:rsid w:val="00297CEB"/>
    <w:rsid w:val="00297F48"/>
    <w:rsid w:val="002A613B"/>
    <w:rsid w:val="002A7945"/>
    <w:rsid w:val="002A7A4D"/>
    <w:rsid w:val="002B3EC4"/>
    <w:rsid w:val="002B67F2"/>
    <w:rsid w:val="002C361D"/>
    <w:rsid w:val="002C6FF6"/>
    <w:rsid w:val="002D6490"/>
    <w:rsid w:val="002E36DA"/>
    <w:rsid w:val="002E3FED"/>
    <w:rsid w:val="002E5311"/>
    <w:rsid w:val="002E654C"/>
    <w:rsid w:val="002F1A38"/>
    <w:rsid w:val="002F2F14"/>
    <w:rsid w:val="002F655F"/>
    <w:rsid w:val="00302F0E"/>
    <w:rsid w:val="00303970"/>
    <w:rsid w:val="003040BE"/>
    <w:rsid w:val="0030528F"/>
    <w:rsid w:val="003065D5"/>
    <w:rsid w:val="0030707C"/>
    <w:rsid w:val="00310F21"/>
    <w:rsid w:val="00310F7A"/>
    <w:rsid w:val="003112BE"/>
    <w:rsid w:val="0031134A"/>
    <w:rsid w:val="00312C10"/>
    <w:rsid w:val="00313105"/>
    <w:rsid w:val="00313207"/>
    <w:rsid w:val="003207D2"/>
    <w:rsid w:val="003245E1"/>
    <w:rsid w:val="003355A5"/>
    <w:rsid w:val="00335D35"/>
    <w:rsid w:val="00337828"/>
    <w:rsid w:val="00340B03"/>
    <w:rsid w:val="00341369"/>
    <w:rsid w:val="00342FA2"/>
    <w:rsid w:val="003439C1"/>
    <w:rsid w:val="00345576"/>
    <w:rsid w:val="00347F27"/>
    <w:rsid w:val="003639CF"/>
    <w:rsid w:val="00365721"/>
    <w:rsid w:val="003664A8"/>
    <w:rsid w:val="00367C5F"/>
    <w:rsid w:val="003733DC"/>
    <w:rsid w:val="00383C1D"/>
    <w:rsid w:val="003860CA"/>
    <w:rsid w:val="00392CB9"/>
    <w:rsid w:val="003978CF"/>
    <w:rsid w:val="00397C0A"/>
    <w:rsid w:val="003A2B6A"/>
    <w:rsid w:val="003A5D3C"/>
    <w:rsid w:val="003A7C65"/>
    <w:rsid w:val="003B3ECA"/>
    <w:rsid w:val="003B4897"/>
    <w:rsid w:val="003B741F"/>
    <w:rsid w:val="003D369B"/>
    <w:rsid w:val="003E17E8"/>
    <w:rsid w:val="003E2BB8"/>
    <w:rsid w:val="003F5A96"/>
    <w:rsid w:val="004017AD"/>
    <w:rsid w:val="00403493"/>
    <w:rsid w:val="004061DC"/>
    <w:rsid w:val="00413B0D"/>
    <w:rsid w:val="004148D1"/>
    <w:rsid w:val="00414AEC"/>
    <w:rsid w:val="00420B86"/>
    <w:rsid w:val="0042346C"/>
    <w:rsid w:val="00424B89"/>
    <w:rsid w:val="0044391E"/>
    <w:rsid w:val="004443D6"/>
    <w:rsid w:val="004451D5"/>
    <w:rsid w:val="0044552A"/>
    <w:rsid w:val="00445B4E"/>
    <w:rsid w:val="00452EA6"/>
    <w:rsid w:val="00453B75"/>
    <w:rsid w:val="004556CA"/>
    <w:rsid w:val="004630C5"/>
    <w:rsid w:val="004639B0"/>
    <w:rsid w:val="00472FC4"/>
    <w:rsid w:val="004745D2"/>
    <w:rsid w:val="00481269"/>
    <w:rsid w:val="00487106"/>
    <w:rsid w:val="004946B5"/>
    <w:rsid w:val="0049591E"/>
    <w:rsid w:val="00497F75"/>
    <w:rsid w:val="004A1FBC"/>
    <w:rsid w:val="004A7533"/>
    <w:rsid w:val="004A7909"/>
    <w:rsid w:val="004A7DA9"/>
    <w:rsid w:val="004B0DD9"/>
    <w:rsid w:val="004B6F93"/>
    <w:rsid w:val="004D0A7A"/>
    <w:rsid w:val="004D628C"/>
    <w:rsid w:val="004D7B71"/>
    <w:rsid w:val="004E0F90"/>
    <w:rsid w:val="004E55B4"/>
    <w:rsid w:val="004E77A1"/>
    <w:rsid w:val="004F4962"/>
    <w:rsid w:val="004F6C2F"/>
    <w:rsid w:val="005057FE"/>
    <w:rsid w:val="00506161"/>
    <w:rsid w:val="005075C8"/>
    <w:rsid w:val="0050794E"/>
    <w:rsid w:val="0051044F"/>
    <w:rsid w:val="0051639C"/>
    <w:rsid w:val="0051646C"/>
    <w:rsid w:val="005170F4"/>
    <w:rsid w:val="005172CB"/>
    <w:rsid w:val="00520DD0"/>
    <w:rsid w:val="005257B8"/>
    <w:rsid w:val="00525947"/>
    <w:rsid w:val="00527251"/>
    <w:rsid w:val="005350ED"/>
    <w:rsid w:val="00535764"/>
    <w:rsid w:val="00540138"/>
    <w:rsid w:val="00547D80"/>
    <w:rsid w:val="00547F79"/>
    <w:rsid w:val="00551C7A"/>
    <w:rsid w:val="00554ADC"/>
    <w:rsid w:val="00554DDF"/>
    <w:rsid w:val="00560595"/>
    <w:rsid w:val="00561609"/>
    <w:rsid w:val="00561B39"/>
    <w:rsid w:val="0056750E"/>
    <w:rsid w:val="005702F6"/>
    <w:rsid w:val="00570530"/>
    <w:rsid w:val="00570FB4"/>
    <w:rsid w:val="00574BCA"/>
    <w:rsid w:val="00574DF2"/>
    <w:rsid w:val="00581F54"/>
    <w:rsid w:val="0058501A"/>
    <w:rsid w:val="005854BB"/>
    <w:rsid w:val="0059266C"/>
    <w:rsid w:val="00592EA9"/>
    <w:rsid w:val="005A06BC"/>
    <w:rsid w:val="005A0D1F"/>
    <w:rsid w:val="005A10BD"/>
    <w:rsid w:val="005A1FAA"/>
    <w:rsid w:val="005A34F0"/>
    <w:rsid w:val="005B0E92"/>
    <w:rsid w:val="005B55C8"/>
    <w:rsid w:val="005B5BDC"/>
    <w:rsid w:val="005B7FDA"/>
    <w:rsid w:val="005C40F0"/>
    <w:rsid w:val="005C68B9"/>
    <w:rsid w:val="005D7B31"/>
    <w:rsid w:val="005E429F"/>
    <w:rsid w:val="005E52DB"/>
    <w:rsid w:val="005E6E4F"/>
    <w:rsid w:val="005E75D7"/>
    <w:rsid w:val="005F147D"/>
    <w:rsid w:val="00604341"/>
    <w:rsid w:val="006044B5"/>
    <w:rsid w:val="00604CC9"/>
    <w:rsid w:val="0060532C"/>
    <w:rsid w:val="0060763C"/>
    <w:rsid w:val="00607814"/>
    <w:rsid w:val="006118BF"/>
    <w:rsid w:val="00611D68"/>
    <w:rsid w:val="00614910"/>
    <w:rsid w:val="00624D90"/>
    <w:rsid w:val="006315A6"/>
    <w:rsid w:val="006409E9"/>
    <w:rsid w:val="00653C0C"/>
    <w:rsid w:val="006567E8"/>
    <w:rsid w:val="00660423"/>
    <w:rsid w:val="00662AE6"/>
    <w:rsid w:val="006653DF"/>
    <w:rsid w:val="00676170"/>
    <w:rsid w:val="006771F4"/>
    <w:rsid w:val="006817E6"/>
    <w:rsid w:val="00682185"/>
    <w:rsid w:val="00682424"/>
    <w:rsid w:val="00684401"/>
    <w:rsid w:val="00684CBB"/>
    <w:rsid w:val="006910D4"/>
    <w:rsid w:val="006948F6"/>
    <w:rsid w:val="00696B49"/>
    <w:rsid w:val="006A6C8C"/>
    <w:rsid w:val="006B0D04"/>
    <w:rsid w:val="006B197A"/>
    <w:rsid w:val="006B544B"/>
    <w:rsid w:val="006B6ED8"/>
    <w:rsid w:val="006B79DF"/>
    <w:rsid w:val="006C035D"/>
    <w:rsid w:val="006C5655"/>
    <w:rsid w:val="006C72AE"/>
    <w:rsid w:val="006D0D3F"/>
    <w:rsid w:val="006D72C8"/>
    <w:rsid w:val="006E027D"/>
    <w:rsid w:val="006E55D2"/>
    <w:rsid w:val="006E5909"/>
    <w:rsid w:val="00704222"/>
    <w:rsid w:val="00713227"/>
    <w:rsid w:val="00714F04"/>
    <w:rsid w:val="0072157E"/>
    <w:rsid w:val="007241F5"/>
    <w:rsid w:val="007370CE"/>
    <w:rsid w:val="007371A7"/>
    <w:rsid w:val="00744028"/>
    <w:rsid w:val="00745996"/>
    <w:rsid w:val="007520A4"/>
    <w:rsid w:val="007526D6"/>
    <w:rsid w:val="007545F2"/>
    <w:rsid w:val="00756879"/>
    <w:rsid w:val="00757E59"/>
    <w:rsid w:val="00764200"/>
    <w:rsid w:val="00766223"/>
    <w:rsid w:val="007668D1"/>
    <w:rsid w:val="00772959"/>
    <w:rsid w:val="007733C7"/>
    <w:rsid w:val="007815E9"/>
    <w:rsid w:val="00782B94"/>
    <w:rsid w:val="007835BB"/>
    <w:rsid w:val="00787FBC"/>
    <w:rsid w:val="00790FB3"/>
    <w:rsid w:val="00791D37"/>
    <w:rsid w:val="00792D07"/>
    <w:rsid w:val="007A04F7"/>
    <w:rsid w:val="007A06D7"/>
    <w:rsid w:val="007B0AEC"/>
    <w:rsid w:val="007B19C4"/>
    <w:rsid w:val="007B3846"/>
    <w:rsid w:val="007B595A"/>
    <w:rsid w:val="007C194A"/>
    <w:rsid w:val="007C236F"/>
    <w:rsid w:val="007C2A39"/>
    <w:rsid w:val="007D4DDF"/>
    <w:rsid w:val="007D63EC"/>
    <w:rsid w:val="007E32A5"/>
    <w:rsid w:val="007E42D2"/>
    <w:rsid w:val="007E53A6"/>
    <w:rsid w:val="007E61F6"/>
    <w:rsid w:val="007E78DE"/>
    <w:rsid w:val="007F1E61"/>
    <w:rsid w:val="007F2A77"/>
    <w:rsid w:val="007F32A6"/>
    <w:rsid w:val="007F5767"/>
    <w:rsid w:val="007F71CE"/>
    <w:rsid w:val="00802351"/>
    <w:rsid w:val="008121B7"/>
    <w:rsid w:val="00815ECC"/>
    <w:rsid w:val="00817C46"/>
    <w:rsid w:val="00820CED"/>
    <w:rsid w:val="00825A73"/>
    <w:rsid w:val="00826E75"/>
    <w:rsid w:val="00833F70"/>
    <w:rsid w:val="00836570"/>
    <w:rsid w:val="00843981"/>
    <w:rsid w:val="00843E27"/>
    <w:rsid w:val="00850253"/>
    <w:rsid w:val="00851032"/>
    <w:rsid w:val="00860286"/>
    <w:rsid w:val="00861620"/>
    <w:rsid w:val="00876057"/>
    <w:rsid w:val="00877157"/>
    <w:rsid w:val="0088179A"/>
    <w:rsid w:val="0088222B"/>
    <w:rsid w:val="00882581"/>
    <w:rsid w:val="00885BEF"/>
    <w:rsid w:val="008967CE"/>
    <w:rsid w:val="008967E8"/>
    <w:rsid w:val="008A002D"/>
    <w:rsid w:val="008A340D"/>
    <w:rsid w:val="008A780B"/>
    <w:rsid w:val="008B0DAD"/>
    <w:rsid w:val="008B4DC2"/>
    <w:rsid w:val="008B4F1E"/>
    <w:rsid w:val="008B52DD"/>
    <w:rsid w:val="008C1704"/>
    <w:rsid w:val="008C5E7E"/>
    <w:rsid w:val="008C6BCF"/>
    <w:rsid w:val="008D18D5"/>
    <w:rsid w:val="008D239B"/>
    <w:rsid w:val="008D436B"/>
    <w:rsid w:val="008D5809"/>
    <w:rsid w:val="008D6F77"/>
    <w:rsid w:val="008E0A7D"/>
    <w:rsid w:val="008E1098"/>
    <w:rsid w:val="008E28F1"/>
    <w:rsid w:val="008E50BD"/>
    <w:rsid w:val="008F0D7E"/>
    <w:rsid w:val="008F33EE"/>
    <w:rsid w:val="008F3AA8"/>
    <w:rsid w:val="00903ACE"/>
    <w:rsid w:val="00903E46"/>
    <w:rsid w:val="00920804"/>
    <w:rsid w:val="009219DC"/>
    <w:rsid w:val="0092239F"/>
    <w:rsid w:val="00927180"/>
    <w:rsid w:val="00930B46"/>
    <w:rsid w:val="00933350"/>
    <w:rsid w:val="00933D6D"/>
    <w:rsid w:val="009430D7"/>
    <w:rsid w:val="00943E5D"/>
    <w:rsid w:val="009449D2"/>
    <w:rsid w:val="00946C13"/>
    <w:rsid w:val="00955933"/>
    <w:rsid w:val="00957649"/>
    <w:rsid w:val="0096078C"/>
    <w:rsid w:val="00961A7F"/>
    <w:rsid w:val="0096795A"/>
    <w:rsid w:val="009716B9"/>
    <w:rsid w:val="00984446"/>
    <w:rsid w:val="00987147"/>
    <w:rsid w:val="0098717B"/>
    <w:rsid w:val="00991491"/>
    <w:rsid w:val="00991E9E"/>
    <w:rsid w:val="00993025"/>
    <w:rsid w:val="0099523B"/>
    <w:rsid w:val="009A1D05"/>
    <w:rsid w:val="009A37F0"/>
    <w:rsid w:val="009A55BC"/>
    <w:rsid w:val="009B1F12"/>
    <w:rsid w:val="009C0F98"/>
    <w:rsid w:val="009C397A"/>
    <w:rsid w:val="009E325F"/>
    <w:rsid w:val="009E62E2"/>
    <w:rsid w:val="009F50A4"/>
    <w:rsid w:val="009F756A"/>
    <w:rsid w:val="00A02FBC"/>
    <w:rsid w:val="00A07422"/>
    <w:rsid w:val="00A075E2"/>
    <w:rsid w:val="00A15F99"/>
    <w:rsid w:val="00A16933"/>
    <w:rsid w:val="00A23FDF"/>
    <w:rsid w:val="00A274EA"/>
    <w:rsid w:val="00A278F6"/>
    <w:rsid w:val="00A3144E"/>
    <w:rsid w:val="00A36546"/>
    <w:rsid w:val="00A4489F"/>
    <w:rsid w:val="00A451DC"/>
    <w:rsid w:val="00A521E9"/>
    <w:rsid w:val="00A528C1"/>
    <w:rsid w:val="00A5520D"/>
    <w:rsid w:val="00A56812"/>
    <w:rsid w:val="00A61363"/>
    <w:rsid w:val="00A614A0"/>
    <w:rsid w:val="00A72948"/>
    <w:rsid w:val="00A77526"/>
    <w:rsid w:val="00A81C85"/>
    <w:rsid w:val="00A85008"/>
    <w:rsid w:val="00A8799A"/>
    <w:rsid w:val="00AA23B4"/>
    <w:rsid w:val="00AA349C"/>
    <w:rsid w:val="00AA3FD4"/>
    <w:rsid w:val="00AA64C4"/>
    <w:rsid w:val="00AA6AF1"/>
    <w:rsid w:val="00AB7340"/>
    <w:rsid w:val="00AB76E4"/>
    <w:rsid w:val="00AC0B19"/>
    <w:rsid w:val="00AC2652"/>
    <w:rsid w:val="00AC5CC9"/>
    <w:rsid w:val="00AC6294"/>
    <w:rsid w:val="00AD4443"/>
    <w:rsid w:val="00AD4D8B"/>
    <w:rsid w:val="00AE2646"/>
    <w:rsid w:val="00AE4DBE"/>
    <w:rsid w:val="00AE7FFE"/>
    <w:rsid w:val="00AF26BC"/>
    <w:rsid w:val="00AF557B"/>
    <w:rsid w:val="00AF560C"/>
    <w:rsid w:val="00B028A9"/>
    <w:rsid w:val="00B318D3"/>
    <w:rsid w:val="00B46979"/>
    <w:rsid w:val="00B61DC5"/>
    <w:rsid w:val="00B719C9"/>
    <w:rsid w:val="00B75503"/>
    <w:rsid w:val="00B86215"/>
    <w:rsid w:val="00BB28D5"/>
    <w:rsid w:val="00BB42F0"/>
    <w:rsid w:val="00BB443B"/>
    <w:rsid w:val="00BC3810"/>
    <w:rsid w:val="00BC405B"/>
    <w:rsid w:val="00BC5FC3"/>
    <w:rsid w:val="00BD066F"/>
    <w:rsid w:val="00BD35EC"/>
    <w:rsid w:val="00BD5B92"/>
    <w:rsid w:val="00BD7316"/>
    <w:rsid w:val="00BE25B4"/>
    <w:rsid w:val="00BF125B"/>
    <w:rsid w:val="00BF20C1"/>
    <w:rsid w:val="00BF3E64"/>
    <w:rsid w:val="00BF7A32"/>
    <w:rsid w:val="00C00F89"/>
    <w:rsid w:val="00C036DE"/>
    <w:rsid w:val="00C03F86"/>
    <w:rsid w:val="00C0574C"/>
    <w:rsid w:val="00C076A6"/>
    <w:rsid w:val="00C13E0D"/>
    <w:rsid w:val="00C32613"/>
    <w:rsid w:val="00C33FD9"/>
    <w:rsid w:val="00C3525A"/>
    <w:rsid w:val="00C450E2"/>
    <w:rsid w:val="00C51B0D"/>
    <w:rsid w:val="00C63045"/>
    <w:rsid w:val="00C73D06"/>
    <w:rsid w:val="00C81402"/>
    <w:rsid w:val="00C85055"/>
    <w:rsid w:val="00C853F4"/>
    <w:rsid w:val="00C85BEF"/>
    <w:rsid w:val="00C85F0F"/>
    <w:rsid w:val="00C9798E"/>
    <w:rsid w:val="00CA1F67"/>
    <w:rsid w:val="00CA4C06"/>
    <w:rsid w:val="00CA6879"/>
    <w:rsid w:val="00CB471C"/>
    <w:rsid w:val="00CC0544"/>
    <w:rsid w:val="00CC20AF"/>
    <w:rsid w:val="00CD0FDA"/>
    <w:rsid w:val="00CD2434"/>
    <w:rsid w:val="00CD368D"/>
    <w:rsid w:val="00CD4123"/>
    <w:rsid w:val="00CF2F91"/>
    <w:rsid w:val="00CF4575"/>
    <w:rsid w:val="00CF660B"/>
    <w:rsid w:val="00CF6635"/>
    <w:rsid w:val="00CF69FB"/>
    <w:rsid w:val="00D05082"/>
    <w:rsid w:val="00D07A48"/>
    <w:rsid w:val="00D1081A"/>
    <w:rsid w:val="00D11221"/>
    <w:rsid w:val="00D13709"/>
    <w:rsid w:val="00D15BBA"/>
    <w:rsid w:val="00D20F3F"/>
    <w:rsid w:val="00D215F6"/>
    <w:rsid w:val="00D278A6"/>
    <w:rsid w:val="00D3243E"/>
    <w:rsid w:val="00D3399D"/>
    <w:rsid w:val="00D35A98"/>
    <w:rsid w:val="00D3748E"/>
    <w:rsid w:val="00D40E14"/>
    <w:rsid w:val="00D421CB"/>
    <w:rsid w:val="00D44964"/>
    <w:rsid w:val="00D534CE"/>
    <w:rsid w:val="00D54624"/>
    <w:rsid w:val="00D55234"/>
    <w:rsid w:val="00D560C1"/>
    <w:rsid w:val="00D60F32"/>
    <w:rsid w:val="00D65800"/>
    <w:rsid w:val="00D659A0"/>
    <w:rsid w:val="00D71D98"/>
    <w:rsid w:val="00D826B8"/>
    <w:rsid w:val="00D82ED6"/>
    <w:rsid w:val="00D86397"/>
    <w:rsid w:val="00D90508"/>
    <w:rsid w:val="00D947A4"/>
    <w:rsid w:val="00D948CA"/>
    <w:rsid w:val="00DA47D0"/>
    <w:rsid w:val="00DB2C7D"/>
    <w:rsid w:val="00DB2E30"/>
    <w:rsid w:val="00DB42B6"/>
    <w:rsid w:val="00DB7336"/>
    <w:rsid w:val="00DC58C2"/>
    <w:rsid w:val="00DC62DF"/>
    <w:rsid w:val="00DD0B42"/>
    <w:rsid w:val="00DD27CE"/>
    <w:rsid w:val="00DD47B9"/>
    <w:rsid w:val="00DE3940"/>
    <w:rsid w:val="00DF2303"/>
    <w:rsid w:val="00DF2BE6"/>
    <w:rsid w:val="00E00264"/>
    <w:rsid w:val="00E02B6F"/>
    <w:rsid w:val="00E03122"/>
    <w:rsid w:val="00E06612"/>
    <w:rsid w:val="00E07C84"/>
    <w:rsid w:val="00E10213"/>
    <w:rsid w:val="00E179D7"/>
    <w:rsid w:val="00E17C88"/>
    <w:rsid w:val="00E206AF"/>
    <w:rsid w:val="00E20853"/>
    <w:rsid w:val="00E212C5"/>
    <w:rsid w:val="00E31793"/>
    <w:rsid w:val="00E349F3"/>
    <w:rsid w:val="00E34A11"/>
    <w:rsid w:val="00E4040D"/>
    <w:rsid w:val="00E40E73"/>
    <w:rsid w:val="00E4168C"/>
    <w:rsid w:val="00E46133"/>
    <w:rsid w:val="00E51C1B"/>
    <w:rsid w:val="00E57522"/>
    <w:rsid w:val="00E5781C"/>
    <w:rsid w:val="00E71B9B"/>
    <w:rsid w:val="00E818FD"/>
    <w:rsid w:val="00E82384"/>
    <w:rsid w:val="00E82FE9"/>
    <w:rsid w:val="00E830E9"/>
    <w:rsid w:val="00E85D5F"/>
    <w:rsid w:val="00E86E84"/>
    <w:rsid w:val="00E93BFB"/>
    <w:rsid w:val="00EB252F"/>
    <w:rsid w:val="00EC073F"/>
    <w:rsid w:val="00EC4BC3"/>
    <w:rsid w:val="00EC6EFC"/>
    <w:rsid w:val="00EC7488"/>
    <w:rsid w:val="00ED330E"/>
    <w:rsid w:val="00ED4A0D"/>
    <w:rsid w:val="00ED5033"/>
    <w:rsid w:val="00EE5C16"/>
    <w:rsid w:val="00EE61EC"/>
    <w:rsid w:val="00EF6931"/>
    <w:rsid w:val="00EF6E9F"/>
    <w:rsid w:val="00F0254A"/>
    <w:rsid w:val="00F10606"/>
    <w:rsid w:val="00F15F08"/>
    <w:rsid w:val="00F224C9"/>
    <w:rsid w:val="00F230CD"/>
    <w:rsid w:val="00F2757D"/>
    <w:rsid w:val="00F33AD4"/>
    <w:rsid w:val="00F34A07"/>
    <w:rsid w:val="00F35FCE"/>
    <w:rsid w:val="00F365AC"/>
    <w:rsid w:val="00F40788"/>
    <w:rsid w:val="00F43E76"/>
    <w:rsid w:val="00F44EE9"/>
    <w:rsid w:val="00F514A8"/>
    <w:rsid w:val="00F5497A"/>
    <w:rsid w:val="00F56076"/>
    <w:rsid w:val="00F63373"/>
    <w:rsid w:val="00F637F4"/>
    <w:rsid w:val="00F7041F"/>
    <w:rsid w:val="00F760F6"/>
    <w:rsid w:val="00F849DF"/>
    <w:rsid w:val="00F84EA3"/>
    <w:rsid w:val="00F8782A"/>
    <w:rsid w:val="00F905A5"/>
    <w:rsid w:val="00F9181B"/>
    <w:rsid w:val="00F94B31"/>
    <w:rsid w:val="00F96A8E"/>
    <w:rsid w:val="00F96E04"/>
    <w:rsid w:val="00FA4B8B"/>
    <w:rsid w:val="00FA64CA"/>
    <w:rsid w:val="00FB2564"/>
    <w:rsid w:val="00FB3475"/>
    <w:rsid w:val="00FC15EE"/>
    <w:rsid w:val="00FC4D00"/>
    <w:rsid w:val="00FC4EF4"/>
    <w:rsid w:val="00FC6D53"/>
    <w:rsid w:val="00FD6CB8"/>
    <w:rsid w:val="00FE03B7"/>
    <w:rsid w:val="00FF111D"/>
    <w:rsid w:val="00FF1881"/>
    <w:rsid w:val="00FF3067"/>
    <w:rsid w:val="00FF431A"/>
    <w:rsid w:val="00FF6A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9CF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0CD"/>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F90"/>
    <w:pPr>
      <w:ind w:left="720"/>
      <w:contextualSpacing/>
    </w:pPr>
  </w:style>
  <w:style w:type="table" w:styleId="TableGrid">
    <w:name w:val="Table Grid"/>
    <w:basedOn w:val="TableNormal"/>
    <w:uiPriority w:val="39"/>
    <w:rsid w:val="00020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uiPriority w:val="99"/>
    <w:rsid w:val="0027520F"/>
    <w:pPr>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unhideWhenUsed/>
    <w:rsid w:val="009A1D05"/>
    <w:rPr>
      <w:sz w:val="16"/>
      <w:szCs w:val="16"/>
    </w:rPr>
  </w:style>
  <w:style w:type="paragraph" w:styleId="CommentText">
    <w:name w:val="annotation text"/>
    <w:basedOn w:val="Normal"/>
    <w:link w:val="CommentTextChar"/>
    <w:uiPriority w:val="99"/>
    <w:unhideWhenUsed/>
    <w:rsid w:val="009A1D05"/>
    <w:pPr>
      <w:spacing w:line="240" w:lineRule="auto"/>
    </w:pPr>
    <w:rPr>
      <w:sz w:val="20"/>
      <w:szCs w:val="20"/>
    </w:rPr>
  </w:style>
  <w:style w:type="character" w:customStyle="1" w:styleId="CommentTextChar">
    <w:name w:val="Comment Text Char"/>
    <w:basedOn w:val="DefaultParagraphFont"/>
    <w:link w:val="CommentText"/>
    <w:uiPriority w:val="99"/>
    <w:rsid w:val="009A1D05"/>
    <w:rPr>
      <w:sz w:val="20"/>
      <w:szCs w:val="20"/>
    </w:rPr>
  </w:style>
  <w:style w:type="paragraph" w:styleId="BalloonText">
    <w:name w:val="Balloon Text"/>
    <w:basedOn w:val="Normal"/>
    <w:link w:val="BalloonTextChar"/>
    <w:uiPriority w:val="99"/>
    <w:semiHidden/>
    <w:unhideWhenUsed/>
    <w:rsid w:val="009A1D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D0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1639C"/>
    <w:rPr>
      <w:b/>
      <w:bCs/>
    </w:rPr>
  </w:style>
  <w:style w:type="character" w:customStyle="1" w:styleId="CommentSubjectChar">
    <w:name w:val="Comment Subject Char"/>
    <w:basedOn w:val="CommentTextChar"/>
    <w:link w:val="CommentSubject"/>
    <w:uiPriority w:val="99"/>
    <w:semiHidden/>
    <w:rsid w:val="0051639C"/>
    <w:rPr>
      <w:b/>
      <w:bCs/>
      <w:sz w:val="20"/>
      <w:szCs w:val="20"/>
    </w:rPr>
  </w:style>
  <w:style w:type="table" w:customStyle="1" w:styleId="TableGrid1">
    <w:name w:val="Table Grid1"/>
    <w:basedOn w:val="TableNormal"/>
    <w:next w:val="TableGrid"/>
    <w:uiPriority w:val="39"/>
    <w:rsid w:val="00F91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637F4"/>
    <w:rPr>
      <w:color w:val="808080"/>
    </w:rPr>
  </w:style>
  <w:style w:type="paragraph" w:styleId="FootnoteText">
    <w:name w:val="footnote text"/>
    <w:basedOn w:val="Normal"/>
    <w:link w:val="FootnoteTextChar"/>
    <w:uiPriority w:val="99"/>
    <w:semiHidden/>
    <w:unhideWhenUsed/>
    <w:rsid w:val="00ED33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330E"/>
    <w:rPr>
      <w:sz w:val="20"/>
      <w:szCs w:val="20"/>
    </w:rPr>
  </w:style>
  <w:style w:type="character" w:styleId="FootnoteReference">
    <w:name w:val="footnote reference"/>
    <w:basedOn w:val="DefaultParagraphFont"/>
    <w:uiPriority w:val="99"/>
    <w:semiHidden/>
    <w:unhideWhenUsed/>
    <w:rsid w:val="00ED330E"/>
    <w:rPr>
      <w:vertAlign w:val="superscript"/>
    </w:rPr>
  </w:style>
  <w:style w:type="table" w:customStyle="1" w:styleId="Reatabula1">
    <w:name w:val="Režģa tabula1"/>
    <w:basedOn w:val="TableNormal"/>
    <w:next w:val="TableGrid"/>
    <w:uiPriority w:val="39"/>
    <w:rsid w:val="00DA47D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5348"/>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99523B"/>
    <w:rPr>
      <w:color w:val="0563C1"/>
      <w:u w:val="single"/>
    </w:rPr>
  </w:style>
  <w:style w:type="character" w:styleId="FollowedHyperlink">
    <w:name w:val="FollowedHyperlink"/>
    <w:basedOn w:val="DefaultParagraphFont"/>
    <w:uiPriority w:val="99"/>
    <w:semiHidden/>
    <w:unhideWhenUsed/>
    <w:rsid w:val="0099523B"/>
    <w:rPr>
      <w:color w:val="954F72"/>
      <w:u w:val="single"/>
    </w:rPr>
  </w:style>
  <w:style w:type="paragraph" w:customStyle="1" w:styleId="msonormal0">
    <w:name w:val="msonormal"/>
    <w:basedOn w:val="Normal"/>
    <w:rsid w:val="0099523B"/>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nt5">
    <w:name w:val="font5"/>
    <w:basedOn w:val="Normal"/>
    <w:rsid w:val="0099523B"/>
    <w:pPr>
      <w:spacing w:before="100" w:beforeAutospacing="1" w:after="100" w:afterAutospacing="1" w:line="240" w:lineRule="auto"/>
    </w:pPr>
    <w:rPr>
      <w:rFonts w:ascii="Times New Roman" w:eastAsia="Times New Roman" w:hAnsi="Times New Roman"/>
      <w:color w:val="000000"/>
      <w:sz w:val="20"/>
      <w:szCs w:val="20"/>
      <w:lang w:eastAsia="lv-LV"/>
    </w:rPr>
  </w:style>
  <w:style w:type="paragraph" w:customStyle="1" w:styleId="font6">
    <w:name w:val="font6"/>
    <w:basedOn w:val="Normal"/>
    <w:rsid w:val="0099523B"/>
    <w:pPr>
      <w:spacing w:before="100" w:beforeAutospacing="1" w:after="100" w:afterAutospacing="1" w:line="240" w:lineRule="auto"/>
    </w:pPr>
    <w:rPr>
      <w:rFonts w:ascii="Times New Roman" w:eastAsia="Times New Roman" w:hAnsi="Times New Roman"/>
      <w:i/>
      <w:iCs/>
      <w:color w:val="000000"/>
      <w:sz w:val="20"/>
      <w:szCs w:val="20"/>
      <w:lang w:eastAsia="lv-LV"/>
    </w:rPr>
  </w:style>
  <w:style w:type="paragraph" w:customStyle="1" w:styleId="xl66">
    <w:name w:val="xl66"/>
    <w:basedOn w:val="Normal"/>
    <w:rsid w:val="0099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67">
    <w:name w:val="xl67"/>
    <w:basedOn w:val="Normal"/>
    <w:rsid w:val="0099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68">
    <w:name w:val="xl68"/>
    <w:basedOn w:val="Normal"/>
    <w:rsid w:val="0099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69">
    <w:name w:val="xl69"/>
    <w:basedOn w:val="Normal"/>
    <w:rsid w:val="0099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0">
    <w:name w:val="xl70"/>
    <w:basedOn w:val="Normal"/>
    <w:rsid w:val="0099523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1">
    <w:name w:val="xl71"/>
    <w:basedOn w:val="Normal"/>
    <w:rsid w:val="0099523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2">
    <w:name w:val="xl72"/>
    <w:basedOn w:val="Normal"/>
    <w:rsid w:val="009952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3">
    <w:name w:val="xl73"/>
    <w:basedOn w:val="Normal"/>
    <w:rsid w:val="009952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4">
    <w:name w:val="xl74"/>
    <w:basedOn w:val="Normal"/>
    <w:rsid w:val="0099523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5">
    <w:name w:val="xl75"/>
    <w:basedOn w:val="Normal"/>
    <w:rsid w:val="0099523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6">
    <w:name w:val="xl76"/>
    <w:basedOn w:val="Normal"/>
    <w:rsid w:val="009952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7">
    <w:name w:val="xl77"/>
    <w:basedOn w:val="Normal"/>
    <w:rsid w:val="009952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8">
    <w:name w:val="xl78"/>
    <w:basedOn w:val="Normal"/>
    <w:rsid w:val="009952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9">
    <w:name w:val="xl79"/>
    <w:basedOn w:val="Normal"/>
    <w:rsid w:val="009952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0">
    <w:name w:val="xl80"/>
    <w:basedOn w:val="Normal"/>
    <w:rsid w:val="0099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1">
    <w:name w:val="xl81"/>
    <w:basedOn w:val="Normal"/>
    <w:rsid w:val="0099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2">
    <w:name w:val="xl82"/>
    <w:basedOn w:val="Normal"/>
    <w:rsid w:val="009952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3">
    <w:name w:val="xl83"/>
    <w:basedOn w:val="Normal"/>
    <w:rsid w:val="0099523B"/>
    <w:pP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4">
    <w:name w:val="xl84"/>
    <w:basedOn w:val="Normal"/>
    <w:rsid w:val="0099523B"/>
    <w:pPr>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85">
    <w:name w:val="xl85"/>
    <w:basedOn w:val="Normal"/>
    <w:rsid w:val="0099523B"/>
    <w:pP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6">
    <w:name w:val="xl86"/>
    <w:basedOn w:val="Normal"/>
    <w:rsid w:val="0099523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7">
    <w:name w:val="xl87"/>
    <w:basedOn w:val="Normal"/>
    <w:rsid w:val="0099523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8">
    <w:name w:val="xl88"/>
    <w:basedOn w:val="Normal"/>
    <w:rsid w:val="009952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9">
    <w:name w:val="xl89"/>
    <w:basedOn w:val="Normal"/>
    <w:rsid w:val="009952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0">
    <w:name w:val="xl90"/>
    <w:basedOn w:val="Normal"/>
    <w:rsid w:val="009952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1">
    <w:name w:val="xl91"/>
    <w:basedOn w:val="Normal"/>
    <w:rsid w:val="009952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2">
    <w:name w:val="xl92"/>
    <w:basedOn w:val="Normal"/>
    <w:rsid w:val="009952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3">
    <w:name w:val="xl93"/>
    <w:basedOn w:val="Normal"/>
    <w:rsid w:val="009952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4">
    <w:name w:val="xl94"/>
    <w:basedOn w:val="Normal"/>
    <w:rsid w:val="009952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5">
    <w:name w:val="xl95"/>
    <w:basedOn w:val="Normal"/>
    <w:rsid w:val="0099523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6">
    <w:name w:val="xl96"/>
    <w:basedOn w:val="Normal"/>
    <w:rsid w:val="0099523B"/>
    <w:pP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7">
    <w:name w:val="xl97"/>
    <w:basedOn w:val="Normal"/>
    <w:rsid w:val="009952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8">
    <w:name w:val="xl98"/>
    <w:basedOn w:val="Normal"/>
    <w:rsid w:val="0099523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9">
    <w:name w:val="xl99"/>
    <w:basedOn w:val="Normal"/>
    <w:rsid w:val="0099523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0">
    <w:name w:val="xl100"/>
    <w:basedOn w:val="Normal"/>
    <w:rsid w:val="0099523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01">
    <w:name w:val="xl101"/>
    <w:basedOn w:val="Normal"/>
    <w:rsid w:val="0099523B"/>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02">
    <w:name w:val="xl102"/>
    <w:basedOn w:val="Normal"/>
    <w:rsid w:val="0099523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03">
    <w:name w:val="xl103"/>
    <w:basedOn w:val="Normal"/>
    <w:rsid w:val="0099523B"/>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04">
    <w:name w:val="xl104"/>
    <w:basedOn w:val="Normal"/>
    <w:rsid w:val="0099523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lv-LV"/>
    </w:rPr>
  </w:style>
  <w:style w:type="paragraph" w:customStyle="1" w:styleId="xl105">
    <w:name w:val="xl105"/>
    <w:basedOn w:val="Normal"/>
    <w:rsid w:val="0099523B"/>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lv-LV"/>
    </w:rPr>
  </w:style>
  <w:style w:type="paragraph" w:customStyle="1" w:styleId="xl106">
    <w:name w:val="xl106"/>
    <w:basedOn w:val="Normal"/>
    <w:rsid w:val="0099523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07">
    <w:name w:val="xl107"/>
    <w:basedOn w:val="Normal"/>
    <w:rsid w:val="0099523B"/>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08">
    <w:name w:val="xl108"/>
    <w:basedOn w:val="Normal"/>
    <w:rsid w:val="009952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styleId="Header">
    <w:name w:val="header"/>
    <w:basedOn w:val="Normal"/>
    <w:link w:val="HeaderChar"/>
    <w:uiPriority w:val="99"/>
    <w:unhideWhenUsed/>
    <w:rsid w:val="001249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4971"/>
    <w:rPr>
      <w:rFonts w:ascii="Calibri" w:eastAsia="Calibri" w:hAnsi="Calibri" w:cs="Times New Roman"/>
    </w:rPr>
  </w:style>
  <w:style w:type="paragraph" w:styleId="Footer">
    <w:name w:val="footer"/>
    <w:basedOn w:val="Normal"/>
    <w:link w:val="FooterChar"/>
    <w:uiPriority w:val="99"/>
    <w:unhideWhenUsed/>
    <w:rsid w:val="001249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4971"/>
    <w:rPr>
      <w:rFonts w:ascii="Calibri" w:eastAsia="Calibri" w:hAnsi="Calibri" w:cs="Times New Roman"/>
    </w:rPr>
  </w:style>
  <w:style w:type="character" w:styleId="UnresolvedMention">
    <w:name w:val="Unresolved Mention"/>
    <w:basedOn w:val="DefaultParagraphFont"/>
    <w:uiPriority w:val="99"/>
    <w:semiHidden/>
    <w:unhideWhenUsed/>
    <w:rsid w:val="00495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6152">
      <w:bodyDiv w:val="1"/>
      <w:marLeft w:val="0"/>
      <w:marRight w:val="0"/>
      <w:marTop w:val="0"/>
      <w:marBottom w:val="0"/>
      <w:divBdr>
        <w:top w:val="none" w:sz="0" w:space="0" w:color="auto"/>
        <w:left w:val="none" w:sz="0" w:space="0" w:color="auto"/>
        <w:bottom w:val="none" w:sz="0" w:space="0" w:color="auto"/>
        <w:right w:val="none" w:sz="0" w:space="0" w:color="auto"/>
      </w:divBdr>
    </w:div>
    <w:div w:id="182407342">
      <w:bodyDiv w:val="1"/>
      <w:marLeft w:val="0"/>
      <w:marRight w:val="0"/>
      <w:marTop w:val="0"/>
      <w:marBottom w:val="0"/>
      <w:divBdr>
        <w:top w:val="none" w:sz="0" w:space="0" w:color="auto"/>
        <w:left w:val="none" w:sz="0" w:space="0" w:color="auto"/>
        <w:bottom w:val="none" w:sz="0" w:space="0" w:color="auto"/>
        <w:right w:val="none" w:sz="0" w:space="0" w:color="auto"/>
      </w:divBdr>
    </w:div>
    <w:div w:id="193006102">
      <w:bodyDiv w:val="1"/>
      <w:marLeft w:val="0"/>
      <w:marRight w:val="0"/>
      <w:marTop w:val="0"/>
      <w:marBottom w:val="0"/>
      <w:divBdr>
        <w:top w:val="none" w:sz="0" w:space="0" w:color="auto"/>
        <w:left w:val="none" w:sz="0" w:space="0" w:color="auto"/>
        <w:bottom w:val="none" w:sz="0" w:space="0" w:color="auto"/>
        <w:right w:val="none" w:sz="0" w:space="0" w:color="auto"/>
      </w:divBdr>
    </w:div>
    <w:div w:id="297883387">
      <w:bodyDiv w:val="1"/>
      <w:marLeft w:val="0"/>
      <w:marRight w:val="0"/>
      <w:marTop w:val="0"/>
      <w:marBottom w:val="0"/>
      <w:divBdr>
        <w:top w:val="none" w:sz="0" w:space="0" w:color="auto"/>
        <w:left w:val="none" w:sz="0" w:space="0" w:color="auto"/>
        <w:bottom w:val="none" w:sz="0" w:space="0" w:color="auto"/>
        <w:right w:val="none" w:sz="0" w:space="0" w:color="auto"/>
      </w:divBdr>
    </w:div>
    <w:div w:id="315693065">
      <w:bodyDiv w:val="1"/>
      <w:marLeft w:val="0"/>
      <w:marRight w:val="0"/>
      <w:marTop w:val="0"/>
      <w:marBottom w:val="0"/>
      <w:divBdr>
        <w:top w:val="none" w:sz="0" w:space="0" w:color="auto"/>
        <w:left w:val="none" w:sz="0" w:space="0" w:color="auto"/>
        <w:bottom w:val="none" w:sz="0" w:space="0" w:color="auto"/>
        <w:right w:val="none" w:sz="0" w:space="0" w:color="auto"/>
      </w:divBdr>
    </w:div>
    <w:div w:id="344745668">
      <w:bodyDiv w:val="1"/>
      <w:marLeft w:val="0"/>
      <w:marRight w:val="0"/>
      <w:marTop w:val="0"/>
      <w:marBottom w:val="0"/>
      <w:divBdr>
        <w:top w:val="none" w:sz="0" w:space="0" w:color="auto"/>
        <w:left w:val="none" w:sz="0" w:space="0" w:color="auto"/>
        <w:bottom w:val="none" w:sz="0" w:space="0" w:color="auto"/>
        <w:right w:val="none" w:sz="0" w:space="0" w:color="auto"/>
      </w:divBdr>
    </w:div>
    <w:div w:id="437724922">
      <w:bodyDiv w:val="1"/>
      <w:marLeft w:val="0"/>
      <w:marRight w:val="0"/>
      <w:marTop w:val="0"/>
      <w:marBottom w:val="0"/>
      <w:divBdr>
        <w:top w:val="none" w:sz="0" w:space="0" w:color="auto"/>
        <w:left w:val="none" w:sz="0" w:space="0" w:color="auto"/>
        <w:bottom w:val="none" w:sz="0" w:space="0" w:color="auto"/>
        <w:right w:val="none" w:sz="0" w:space="0" w:color="auto"/>
      </w:divBdr>
    </w:div>
    <w:div w:id="444160821">
      <w:bodyDiv w:val="1"/>
      <w:marLeft w:val="0"/>
      <w:marRight w:val="0"/>
      <w:marTop w:val="0"/>
      <w:marBottom w:val="0"/>
      <w:divBdr>
        <w:top w:val="none" w:sz="0" w:space="0" w:color="auto"/>
        <w:left w:val="none" w:sz="0" w:space="0" w:color="auto"/>
        <w:bottom w:val="none" w:sz="0" w:space="0" w:color="auto"/>
        <w:right w:val="none" w:sz="0" w:space="0" w:color="auto"/>
      </w:divBdr>
    </w:div>
    <w:div w:id="530265070">
      <w:bodyDiv w:val="1"/>
      <w:marLeft w:val="0"/>
      <w:marRight w:val="0"/>
      <w:marTop w:val="0"/>
      <w:marBottom w:val="0"/>
      <w:divBdr>
        <w:top w:val="none" w:sz="0" w:space="0" w:color="auto"/>
        <w:left w:val="none" w:sz="0" w:space="0" w:color="auto"/>
        <w:bottom w:val="none" w:sz="0" w:space="0" w:color="auto"/>
        <w:right w:val="none" w:sz="0" w:space="0" w:color="auto"/>
      </w:divBdr>
    </w:div>
    <w:div w:id="538593686">
      <w:bodyDiv w:val="1"/>
      <w:marLeft w:val="0"/>
      <w:marRight w:val="0"/>
      <w:marTop w:val="0"/>
      <w:marBottom w:val="0"/>
      <w:divBdr>
        <w:top w:val="none" w:sz="0" w:space="0" w:color="auto"/>
        <w:left w:val="none" w:sz="0" w:space="0" w:color="auto"/>
        <w:bottom w:val="none" w:sz="0" w:space="0" w:color="auto"/>
        <w:right w:val="none" w:sz="0" w:space="0" w:color="auto"/>
      </w:divBdr>
    </w:div>
    <w:div w:id="661273977">
      <w:bodyDiv w:val="1"/>
      <w:marLeft w:val="0"/>
      <w:marRight w:val="0"/>
      <w:marTop w:val="0"/>
      <w:marBottom w:val="0"/>
      <w:divBdr>
        <w:top w:val="none" w:sz="0" w:space="0" w:color="auto"/>
        <w:left w:val="none" w:sz="0" w:space="0" w:color="auto"/>
        <w:bottom w:val="none" w:sz="0" w:space="0" w:color="auto"/>
        <w:right w:val="none" w:sz="0" w:space="0" w:color="auto"/>
      </w:divBdr>
    </w:div>
    <w:div w:id="741684907">
      <w:bodyDiv w:val="1"/>
      <w:marLeft w:val="0"/>
      <w:marRight w:val="0"/>
      <w:marTop w:val="0"/>
      <w:marBottom w:val="0"/>
      <w:divBdr>
        <w:top w:val="none" w:sz="0" w:space="0" w:color="auto"/>
        <w:left w:val="none" w:sz="0" w:space="0" w:color="auto"/>
        <w:bottom w:val="none" w:sz="0" w:space="0" w:color="auto"/>
        <w:right w:val="none" w:sz="0" w:space="0" w:color="auto"/>
      </w:divBdr>
      <w:divsChild>
        <w:div w:id="142741053">
          <w:marLeft w:val="0"/>
          <w:marRight w:val="0"/>
          <w:marTop w:val="0"/>
          <w:marBottom w:val="0"/>
          <w:divBdr>
            <w:top w:val="none" w:sz="0" w:space="0" w:color="auto"/>
            <w:left w:val="none" w:sz="0" w:space="0" w:color="auto"/>
            <w:bottom w:val="none" w:sz="0" w:space="0" w:color="auto"/>
            <w:right w:val="none" w:sz="0" w:space="0" w:color="auto"/>
          </w:divBdr>
        </w:div>
        <w:div w:id="1384670663">
          <w:marLeft w:val="0"/>
          <w:marRight w:val="0"/>
          <w:marTop w:val="0"/>
          <w:marBottom w:val="0"/>
          <w:divBdr>
            <w:top w:val="none" w:sz="0" w:space="0" w:color="auto"/>
            <w:left w:val="none" w:sz="0" w:space="0" w:color="auto"/>
            <w:bottom w:val="none" w:sz="0" w:space="0" w:color="auto"/>
            <w:right w:val="none" w:sz="0" w:space="0" w:color="auto"/>
          </w:divBdr>
        </w:div>
      </w:divsChild>
    </w:div>
    <w:div w:id="760637064">
      <w:bodyDiv w:val="1"/>
      <w:marLeft w:val="0"/>
      <w:marRight w:val="0"/>
      <w:marTop w:val="0"/>
      <w:marBottom w:val="0"/>
      <w:divBdr>
        <w:top w:val="none" w:sz="0" w:space="0" w:color="auto"/>
        <w:left w:val="none" w:sz="0" w:space="0" w:color="auto"/>
        <w:bottom w:val="none" w:sz="0" w:space="0" w:color="auto"/>
        <w:right w:val="none" w:sz="0" w:space="0" w:color="auto"/>
      </w:divBdr>
    </w:div>
    <w:div w:id="857348348">
      <w:bodyDiv w:val="1"/>
      <w:marLeft w:val="0"/>
      <w:marRight w:val="0"/>
      <w:marTop w:val="0"/>
      <w:marBottom w:val="0"/>
      <w:divBdr>
        <w:top w:val="none" w:sz="0" w:space="0" w:color="auto"/>
        <w:left w:val="none" w:sz="0" w:space="0" w:color="auto"/>
        <w:bottom w:val="none" w:sz="0" w:space="0" w:color="auto"/>
        <w:right w:val="none" w:sz="0" w:space="0" w:color="auto"/>
      </w:divBdr>
    </w:div>
    <w:div w:id="1010568408">
      <w:bodyDiv w:val="1"/>
      <w:marLeft w:val="0"/>
      <w:marRight w:val="0"/>
      <w:marTop w:val="0"/>
      <w:marBottom w:val="0"/>
      <w:divBdr>
        <w:top w:val="none" w:sz="0" w:space="0" w:color="auto"/>
        <w:left w:val="none" w:sz="0" w:space="0" w:color="auto"/>
        <w:bottom w:val="none" w:sz="0" w:space="0" w:color="auto"/>
        <w:right w:val="none" w:sz="0" w:space="0" w:color="auto"/>
      </w:divBdr>
    </w:div>
    <w:div w:id="1144355181">
      <w:bodyDiv w:val="1"/>
      <w:marLeft w:val="0"/>
      <w:marRight w:val="0"/>
      <w:marTop w:val="0"/>
      <w:marBottom w:val="0"/>
      <w:divBdr>
        <w:top w:val="none" w:sz="0" w:space="0" w:color="auto"/>
        <w:left w:val="none" w:sz="0" w:space="0" w:color="auto"/>
        <w:bottom w:val="none" w:sz="0" w:space="0" w:color="auto"/>
        <w:right w:val="none" w:sz="0" w:space="0" w:color="auto"/>
      </w:divBdr>
    </w:div>
    <w:div w:id="1180122173">
      <w:bodyDiv w:val="1"/>
      <w:marLeft w:val="0"/>
      <w:marRight w:val="0"/>
      <w:marTop w:val="0"/>
      <w:marBottom w:val="0"/>
      <w:divBdr>
        <w:top w:val="none" w:sz="0" w:space="0" w:color="auto"/>
        <w:left w:val="none" w:sz="0" w:space="0" w:color="auto"/>
        <w:bottom w:val="none" w:sz="0" w:space="0" w:color="auto"/>
        <w:right w:val="none" w:sz="0" w:space="0" w:color="auto"/>
      </w:divBdr>
    </w:div>
    <w:div w:id="1226379813">
      <w:bodyDiv w:val="1"/>
      <w:marLeft w:val="0"/>
      <w:marRight w:val="0"/>
      <w:marTop w:val="0"/>
      <w:marBottom w:val="0"/>
      <w:divBdr>
        <w:top w:val="none" w:sz="0" w:space="0" w:color="auto"/>
        <w:left w:val="none" w:sz="0" w:space="0" w:color="auto"/>
        <w:bottom w:val="none" w:sz="0" w:space="0" w:color="auto"/>
        <w:right w:val="none" w:sz="0" w:space="0" w:color="auto"/>
      </w:divBdr>
    </w:div>
    <w:div w:id="1363242334">
      <w:bodyDiv w:val="1"/>
      <w:marLeft w:val="0"/>
      <w:marRight w:val="0"/>
      <w:marTop w:val="0"/>
      <w:marBottom w:val="0"/>
      <w:divBdr>
        <w:top w:val="none" w:sz="0" w:space="0" w:color="auto"/>
        <w:left w:val="none" w:sz="0" w:space="0" w:color="auto"/>
        <w:bottom w:val="none" w:sz="0" w:space="0" w:color="auto"/>
        <w:right w:val="none" w:sz="0" w:space="0" w:color="auto"/>
      </w:divBdr>
    </w:div>
    <w:div w:id="1384718334">
      <w:bodyDiv w:val="1"/>
      <w:marLeft w:val="0"/>
      <w:marRight w:val="0"/>
      <w:marTop w:val="0"/>
      <w:marBottom w:val="0"/>
      <w:divBdr>
        <w:top w:val="none" w:sz="0" w:space="0" w:color="auto"/>
        <w:left w:val="none" w:sz="0" w:space="0" w:color="auto"/>
        <w:bottom w:val="none" w:sz="0" w:space="0" w:color="auto"/>
        <w:right w:val="none" w:sz="0" w:space="0" w:color="auto"/>
      </w:divBdr>
    </w:div>
    <w:div w:id="1406562719">
      <w:bodyDiv w:val="1"/>
      <w:marLeft w:val="0"/>
      <w:marRight w:val="0"/>
      <w:marTop w:val="0"/>
      <w:marBottom w:val="0"/>
      <w:divBdr>
        <w:top w:val="none" w:sz="0" w:space="0" w:color="auto"/>
        <w:left w:val="none" w:sz="0" w:space="0" w:color="auto"/>
        <w:bottom w:val="none" w:sz="0" w:space="0" w:color="auto"/>
        <w:right w:val="none" w:sz="0" w:space="0" w:color="auto"/>
      </w:divBdr>
    </w:div>
    <w:div w:id="1416978146">
      <w:bodyDiv w:val="1"/>
      <w:marLeft w:val="0"/>
      <w:marRight w:val="0"/>
      <w:marTop w:val="0"/>
      <w:marBottom w:val="0"/>
      <w:divBdr>
        <w:top w:val="none" w:sz="0" w:space="0" w:color="auto"/>
        <w:left w:val="none" w:sz="0" w:space="0" w:color="auto"/>
        <w:bottom w:val="none" w:sz="0" w:space="0" w:color="auto"/>
        <w:right w:val="none" w:sz="0" w:space="0" w:color="auto"/>
      </w:divBdr>
    </w:div>
    <w:div w:id="1506164771">
      <w:bodyDiv w:val="1"/>
      <w:marLeft w:val="0"/>
      <w:marRight w:val="0"/>
      <w:marTop w:val="0"/>
      <w:marBottom w:val="0"/>
      <w:divBdr>
        <w:top w:val="none" w:sz="0" w:space="0" w:color="auto"/>
        <w:left w:val="none" w:sz="0" w:space="0" w:color="auto"/>
        <w:bottom w:val="none" w:sz="0" w:space="0" w:color="auto"/>
        <w:right w:val="none" w:sz="0" w:space="0" w:color="auto"/>
      </w:divBdr>
    </w:div>
    <w:div w:id="1538200014">
      <w:bodyDiv w:val="1"/>
      <w:marLeft w:val="0"/>
      <w:marRight w:val="0"/>
      <w:marTop w:val="0"/>
      <w:marBottom w:val="0"/>
      <w:divBdr>
        <w:top w:val="none" w:sz="0" w:space="0" w:color="auto"/>
        <w:left w:val="none" w:sz="0" w:space="0" w:color="auto"/>
        <w:bottom w:val="none" w:sz="0" w:space="0" w:color="auto"/>
        <w:right w:val="none" w:sz="0" w:space="0" w:color="auto"/>
      </w:divBdr>
    </w:div>
    <w:div w:id="1676572161">
      <w:bodyDiv w:val="1"/>
      <w:marLeft w:val="0"/>
      <w:marRight w:val="0"/>
      <w:marTop w:val="0"/>
      <w:marBottom w:val="0"/>
      <w:divBdr>
        <w:top w:val="none" w:sz="0" w:space="0" w:color="auto"/>
        <w:left w:val="none" w:sz="0" w:space="0" w:color="auto"/>
        <w:bottom w:val="none" w:sz="0" w:space="0" w:color="auto"/>
        <w:right w:val="none" w:sz="0" w:space="0" w:color="auto"/>
      </w:divBdr>
    </w:div>
    <w:div w:id="1726369205">
      <w:bodyDiv w:val="1"/>
      <w:marLeft w:val="0"/>
      <w:marRight w:val="0"/>
      <w:marTop w:val="0"/>
      <w:marBottom w:val="0"/>
      <w:divBdr>
        <w:top w:val="none" w:sz="0" w:space="0" w:color="auto"/>
        <w:left w:val="none" w:sz="0" w:space="0" w:color="auto"/>
        <w:bottom w:val="none" w:sz="0" w:space="0" w:color="auto"/>
        <w:right w:val="none" w:sz="0" w:space="0" w:color="auto"/>
      </w:divBdr>
    </w:div>
    <w:div w:id="1732339865">
      <w:bodyDiv w:val="1"/>
      <w:marLeft w:val="0"/>
      <w:marRight w:val="0"/>
      <w:marTop w:val="0"/>
      <w:marBottom w:val="0"/>
      <w:divBdr>
        <w:top w:val="none" w:sz="0" w:space="0" w:color="auto"/>
        <w:left w:val="none" w:sz="0" w:space="0" w:color="auto"/>
        <w:bottom w:val="none" w:sz="0" w:space="0" w:color="auto"/>
        <w:right w:val="none" w:sz="0" w:space="0" w:color="auto"/>
      </w:divBdr>
    </w:div>
    <w:div w:id="1746143665">
      <w:bodyDiv w:val="1"/>
      <w:marLeft w:val="0"/>
      <w:marRight w:val="0"/>
      <w:marTop w:val="0"/>
      <w:marBottom w:val="0"/>
      <w:divBdr>
        <w:top w:val="none" w:sz="0" w:space="0" w:color="auto"/>
        <w:left w:val="none" w:sz="0" w:space="0" w:color="auto"/>
        <w:bottom w:val="none" w:sz="0" w:space="0" w:color="auto"/>
        <w:right w:val="none" w:sz="0" w:space="0" w:color="auto"/>
      </w:divBdr>
    </w:div>
    <w:div w:id="1924492016">
      <w:bodyDiv w:val="1"/>
      <w:marLeft w:val="0"/>
      <w:marRight w:val="0"/>
      <w:marTop w:val="0"/>
      <w:marBottom w:val="0"/>
      <w:divBdr>
        <w:top w:val="none" w:sz="0" w:space="0" w:color="auto"/>
        <w:left w:val="none" w:sz="0" w:space="0" w:color="auto"/>
        <w:bottom w:val="none" w:sz="0" w:space="0" w:color="auto"/>
        <w:right w:val="none" w:sz="0" w:space="0" w:color="auto"/>
      </w:divBdr>
    </w:div>
    <w:div w:id="1942906422">
      <w:bodyDiv w:val="1"/>
      <w:marLeft w:val="0"/>
      <w:marRight w:val="0"/>
      <w:marTop w:val="0"/>
      <w:marBottom w:val="0"/>
      <w:divBdr>
        <w:top w:val="none" w:sz="0" w:space="0" w:color="auto"/>
        <w:left w:val="none" w:sz="0" w:space="0" w:color="auto"/>
        <w:bottom w:val="none" w:sz="0" w:space="0" w:color="auto"/>
        <w:right w:val="none" w:sz="0" w:space="0" w:color="auto"/>
      </w:divBdr>
    </w:div>
    <w:div w:id="197913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A5905-C7CE-4EA0-A940-F80394DD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9033</Words>
  <Characters>5149</Characters>
  <Application>Microsoft Office Word</Application>
  <DocSecurity>0</DocSecurity>
  <Lines>42</Lines>
  <Paragraphs>28</Paragraphs>
  <ScaleCrop>false</ScaleCrop>
  <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2026-03-26T07:17:00Z</dcterms:created>
  <dcterms:modified xsi:type="dcterms:W3CDTF">2026-03-26T07:17:00Z</dcterms:modified>
</cp:coreProperties>
</file>