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F17D9EB" w:rsidR="00DB19FC" w:rsidRPr="00C06DC6" w:rsidRDefault="007D427E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</w:t>
      </w:r>
      <w:r w:rsidR="00BE4953" w:rsidRPr="00C06DC6">
        <w:rPr>
          <w:rFonts w:ascii="Calibri" w:hAnsi="Calibri" w:cs="Calibri"/>
          <w:b/>
          <w:bCs/>
        </w:rPr>
        <w:t>.0</w:t>
      </w:r>
      <w:r w:rsidR="00151FF8" w:rsidRPr="00C06DC6">
        <w:rPr>
          <w:rFonts w:ascii="Calibri" w:hAnsi="Calibri" w:cs="Calibri"/>
          <w:b/>
          <w:bCs/>
        </w:rPr>
        <w:t>5</w:t>
      </w:r>
      <w:r w:rsidR="00BE4953" w:rsidRPr="00C06DC6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06DC6" w:rsidRDefault="0097747B" w:rsidP="00FB16C8">
      <w:pPr>
        <w:rPr>
          <w:rFonts w:ascii="Calibri" w:hAnsi="Calibri" w:cs="Calibri"/>
        </w:rPr>
      </w:pPr>
      <w:r w:rsidRPr="00C06DC6">
        <w:rPr>
          <w:rFonts w:ascii="Calibri" w:hAnsi="Calibri" w:cs="Calibri"/>
          <w:b/>
          <w:bCs/>
        </w:rPr>
        <w:t>E-pasta nosaukums</w:t>
      </w:r>
      <w:r w:rsidRPr="00C06DC6">
        <w:rPr>
          <w:rFonts w:ascii="Calibri" w:hAnsi="Calibri" w:cs="Calibri"/>
        </w:rPr>
        <w:t xml:space="preserve"> </w:t>
      </w:r>
    </w:p>
    <w:p w14:paraId="32F94C6D" w14:textId="77777777" w:rsidR="007D427E" w:rsidRDefault="007D427E" w:rsidP="00C06DC6">
      <w:pPr>
        <w:rPr>
          <w:rFonts w:ascii="Calibri" w:hAnsi="Calibri" w:cs="Calibri"/>
        </w:rPr>
      </w:pPr>
      <w:r w:rsidRPr="007D427E">
        <w:rPr>
          <w:rFonts w:ascii="Calibri" w:hAnsi="Calibri" w:cs="Calibri"/>
        </w:rPr>
        <w:t>Stacionāro plānveida onkoloģisko pakalpojumu pieaugušajiem kvalitātes vērtēšanas kritēriji no 01.06.2026.</w:t>
      </w:r>
    </w:p>
    <w:p w14:paraId="6DFEC656" w14:textId="49C8AF48" w:rsidR="00C06DC6" w:rsidRPr="00C06DC6" w:rsidRDefault="00C06DC6" w:rsidP="00C06DC6">
      <w:pPr>
        <w:rPr>
          <w:rFonts w:ascii="Calibri" w:hAnsi="Calibri" w:cs="Calibri"/>
          <w:b/>
          <w:bCs/>
        </w:rPr>
      </w:pPr>
      <w:r w:rsidRPr="00C06DC6">
        <w:rPr>
          <w:rFonts w:ascii="Calibri" w:hAnsi="Calibri" w:cs="Calibri"/>
          <w:b/>
          <w:bCs/>
        </w:rPr>
        <w:t>E-pasta teksts</w:t>
      </w:r>
    </w:p>
    <w:p w14:paraId="6100913C" w14:textId="35BC63E8" w:rsidR="007D427E" w:rsidRDefault="007D427E" w:rsidP="007D42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74940657" w14:textId="1751981F" w:rsidR="007D427E" w:rsidRDefault="007D427E" w:rsidP="007D427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Nacionālais veselības dienests (turpmāk – Dienests) informē, ka no 2026. gada 1. jūnija spēkā stājas aktualizēts līguma dokuments “Stacionāro plānveida onkoloģisko pakalpojumu pieaugušajiem kvalitātes vērtēšanas kritēriji no 01.06.2026.” </w:t>
      </w:r>
    </w:p>
    <w:p w14:paraId="6DC42752" w14:textId="77777777" w:rsidR="007D427E" w:rsidRDefault="007D427E" w:rsidP="007D427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Dokumentā veiktas sekojošas izmaiņas:</w:t>
      </w:r>
    </w:p>
    <w:p w14:paraId="19256E66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Kritērijus aprēķina, izmantojot datus no DIENESTA un </w:t>
      </w:r>
      <w:r>
        <w:rPr>
          <w:rFonts w:ascii="Calibri" w:eastAsia="Times New Roman" w:hAnsi="Calibri" w:cs="Calibri"/>
          <w:u w:val="single"/>
        </w:rPr>
        <w:t>SIA “Latvijas Digitālās veselības centrs”</w:t>
      </w:r>
      <w:r>
        <w:rPr>
          <w:rFonts w:ascii="Calibri" w:eastAsia="Times New Roman" w:hAnsi="Calibri" w:cs="Calibri"/>
        </w:rPr>
        <w:t xml:space="preserve"> pārziņā esošām informācijas sistēmām. Dzēsts, ka datus izgūst no Slimību un profilakses kontroles centra.</w:t>
      </w:r>
    </w:p>
    <w:p w14:paraId="4C091167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Pirmajā un otrajā kritērijā “diagnoze” precizēta kā </w:t>
      </w:r>
      <w:r>
        <w:rPr>
          <w:rFonts w:ascii="Calibri" w:eastAsia="Times New Roman" w:hAnsi="Calibri" w:cs="Calibri"/>
          <w:u w:val="single"/>
        </w:rPr>
        <w:t>pamata izrakstīšanās diagnoze</w:t>
      </w:r>
      <w:r>
        <w:rPr>
          <w:rFonts w:ascii="Calibri" w:eastAsia="Times New Roman" w:hAnsi="Calibri" w:cs="Calibri"/>
        </w:rPr>
        <w:t>.</w:t>
      </w:r>
    </w:p>
    <w:p w14:paraId="12ED67CD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Trešajā, ceturtajā un piektajā kritērijā ir precizēts, ka jēdziens “ķirurģiski ārstēts” attiecas uz pacientiem, kam veiktas 1. pielikumā norādītās NCSP manipulācijas.</w:t>
      </w:r>
    </w:p>
    <w:p w14:paraId="38B3CC9C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Otrajā kritērijā dzēsts, ka ārstniecības iestādēm iepriekšējā gada dati par otro operācija veicēju </w:t>
      </w:r>
      <w:proofErr w:type="spellStart"/>
      <w:r>
        <w:rPr>
          <w:rFonts w:ascii="Calibri" w:eastAsia="Times New Roman" w:hAnsi="Calibri" w:cs="Calibri"/>
        </w:rPr>
        <w:t>jāiesūta</w:t>
      </w:r>
      <w:proofErr w:type="spellEnd"/>
      <w:r>
        <w:rPr>
          <w:rFonts w:ascii="Calibri" w:eastAsia="Times New Roman" w:hAnsi="Calibri" w:cs="Calibri"/>
        </w:rPr>
        <w:t xml:space="preserve"> Dienestam līdz 31. janvārim, jo VIS SPANS uzskaites dokumenta datņu </w:t>
      </w:r>
      <w:proofErr w:type="spellStart"/>
      <w:r>
        <w:rPr>
          <w:rFonts w:ascii="Calibri" w:eastAsia="Times New Roman" w:hAnsi="Calibri" w:cs="Calibri"/>
        </w:rPr>
        <w:t>ielādes</w:t>
      </w:r>
      <w:proofErr w:type="spellEnd"/>
      <w:r>
        <w:rPr>
          <w:rFonts w:ascii="Calibri" w:eastAsia="Times New Roman" w:hAnsi="Calibri" w:cs="Calibri"/>
        </w:rPr>
        <w:t xml:space="preserve"> formāts ir papildināts ar laukiem otrās un trešās ārstniecības personas norādīšanai, tādējādi nodrošinot iespēju iesniegt pilnvērtīgu informāciju 2. kritērija paredzētajai izvērtēšanai.</w:t>
      </w:r>
    </w:p>
    <w:p w14:paraId="64BD4BCB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Ceturtajā kritērijā precizēts, ka 28 dienu periodu skaita no ambulatorā talona vai stacionārā uzskaites dokumenta, kurā uzrādītas konsīlija manipulācijas 60228 un 60218 (dzēstas manipulācijas 60209; 60210; 60226 ). Precizēts, ka aprēķinā tiek iekļauts tikai ārstu konsīlijs terapijas taktikas </w:t>
      </w:r>
      <w:r>
        <w:rPr>
          <w:rFonts w:ascii="Calibri" w:eastAsia="Times New Roman" w:hAnsi="Calibri" w:cs="Calibri"/>
          <w:u w:val="single"/>
        </w:rPr>
        <w:t>pieņemšanai</w:t>
      </w:r>
      <w:r>
        <w:rPr>
          <w:rFonts w:ascii="Calibri" w:eastAsia="Times New Roman" w:hAnsi="Calibri" w:cs="Calibri"/>
        </w:rPr>
        <w:t xml:space="preserve"> (nevis mainīšanai) pacientam ar pirmreizēji diagnosticētu onkoloģisko slimību un, pievienots, pacientam ar diagnosticētu onkoloģiskās slimības recidīvu.</w:t>
      </w:r>
    </w:p>
    <w:p w14:paraId="4D11A3C1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Piektā kritērija aprēķinā saucējs “pacientu UD skaits” mainīts uz “</w:t>
      </w:r>
      <w:r>
        <w:rPr>
          <w:rFonts w:ascii="Calibri" w:eastAsia="Times New Roman" w:hAnsi="Calibri" w:cs="Calibri"/>
          <w:u w:val="single"/>
        </w:rPr>
        <w:t>ķirurģiski ārstēto unikālo pacientu skaits</w:t>
      </w:r>
      <w:r>
        <w:rPr>
          <w:rFonts w:ascii="Calibri" w:eastAsia="Times New Roman" w:hAnsi="Calibri" w:cs="Calibri"/>
        </w:rPr>
        <w:t>”. Nolemts, ka sūdzību kritērijam un aprēķina metodikai būtu jābūt vienotai visos stratēģiskos līgumos.</w:t>
      </w:r>
    </w:p>
    <w:p w14:paraId="38C40A5D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pielikuma 4. punkts papildināts ar NCSP manipulācijām JFB33, JFB34, JFB40, JFB41, JFB44, JFB47, JFB50, JFB51, JFB53, JFB54, JFB60, JFB61, JFB96.</w:t>
      </w:r>
    </w:p>
    <w:p w14:paraId="53CE772A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pielikuma 5. un 9. punktā neeksistējoša NCSP manipulācija JPE05 labota par NCSP manipulāciju JJPE05.</w:t>
      </w:r>
    </w:p>
    <w:p w14:paraId="32BE56E2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pielikuma 5. punkts papildināts ar NCSP manipulācijām JFB44, JFF27, JFF30, JGA73, JGB01, JGB06, JGB07.</w:t>
      </w:r>
    </w:p>
    <w:p w14:paraId="4B17E0A9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pielikuma 17. punktā neeksistējoša NCSP manipulācija JJP05 labota par NSCP manipulāciju JJPE05.</w:t>
      </w:r>
    </w:p>
    <w:p w14:paraId="6E1294F3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pielikuma 18. punktā detalizētāk precizētas NAR manipulācijas (NAR00-NAR96), NBR manipulācijas (NBR09; NBR19; NBR29; NBR39; NBR49; NBR59; NBR69; NBR79; NBR89; NBR99), NCR manipulācijas (NCR09; NCR19; NCR29; NCR39; NCR49; NCR59; NCR69; NCR79; NCR99), NDR manipulācijas (NDR09; NDR19; NDR29; NDR39; NDR49; NDR59; NDR69; NDR79; NDR99), NER manipulācijas (NER09; NER19; NER29; NER39; NER49; NER59; NER69; NER79; NER99), NFR manipulācijas (NFR09; NFR19; NFR29; NFR39; NFR49; NFR59; NFR69; NFR79; NFR89; NFR99), NGR manipulācijas (NGR09; NGR19; NGR29; NGR39; NGR49; NGR59; NGR69; NGR79; NGR99), NHR </w:t>
      </w:r>
      <w:r>
        <w:rPr>
          <w:rFonts w:ascii="Calibri" w:eastAsia="Times New Roman" w:hAnsi="Calibri" w:cs="Calibri"/>
        </w:rPr>
        <w:lastRenderedPageBreak/>
        <w:t>manipulācijas (NHR09; NHR19; NHR29; NHR39; NHR49; NHR59; NHR69; NHR79; NHR99) un PJD manipulācijas (PJD41-PJD45).</w:t>
      </w:r>
    </w:p>
    <w:p w14:paraId="59E91B26" w14:textId="77777777" w:rsidR="007D427E" w:rsidRDefault="007D427E" w:rsidP="007D427E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Kritēriju robežvērtības vairs neuzskaita pa gadiem, t.i., nemainīgas jebkurā aktuālajā periodā (gads).</w:t>
      </w:r>
    </w:p>
    <w:p w14:paraId="5EC357CB" w14:textId="77777777" w:rsidR="007D427E" w:rsidRDefault="007D427E" w:rsidP="007D427E">
      <w:pPr>
        <w:jc w:val="both"/>
        <w:rPr>
          <w:rFonts w:ascii="Calibri" w:hAnsi="Calibri" w:cs="Calibri"/>
        </w:rPr>
      </w:pPr>
    </w:p>
    <w:p w14:paraId="070C0288" w14:textId="77777777" w:rsidR="007D427E" w:rsidRDefault="007D427E" w:rsidP="007D42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Dokuments pievienots e-pastam un pieejams Dienesta tīmekļvietnē sadaļā “Līgums ar ārstniecības iestādēm no 2025. gada 1. janvāra” &gt; “Stacionāro veselības aprūpes pakalpojumu sniedzējiem” </w:t>
      </w:r>
    </w:p>
    <w:p w14:paraId="437A011E" w14:textId="2035D593" w:rsidR="007D427E" w:rsidRDefault="007D427E" w:rsidP="007D427E">
      <w:pPr>
        <w:jc w:val="both"/>
        <w:rPr>
          <w:rFonts w:ascii="Calibri" w:hAnsi="Calibri" w:cs="Calibri"/>
        </w:rPr>
      </w:pPr>
      <w:hyperlink r:id="rId5" w:history="1">
        <w:r>
          <w:rPr>
            <w:rStyle w:val="Hipersaite"/>
            <w:rFonts w:ascii="Calibri" w:hAnsi="Calibri" w:cs="Calibri"/>
          </w:rPr>
          <w:t>https://www.vmnvd.gov.lv/lv/stacionaro-veselibas-aprupes-pakalpojumu-sniedzejiem</w:t>
        </w:r>
      </w:hyperlink>
    </w:p>
    <w:p w14:paraId="3A89BA89" w14:textId="77777777" w:rsidR="007D427E" w:rsidRDefault="007D427E" w:rsidP="007D42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 dokumenta grozījumu projektu priekšlikumus Dienestam varēja iesniegt līdz 2026.gada 21.aprīlim. Iesniegtie priekšlikumi ievietoti Dienesta tīmekļvietnē sadaļā “Saskaņošanā esošie līguma dokumenti” </w:t>
      </w:r>
      <w:hyperlink r:id="rId6" w:history="1">
        <w:r>
          <w:rPr>
            <w:rStyle w:val="Hipersaite"/>
            <w:rFonts w:ascii="Calibri" w:hAnsi="Calibri" w:cs="Calibri"/>
          </w:rPr>
          <w:t>https://www.vmnvd.gov.lv/lv/saskanosana-esosie-liguma-dokumenti</w:t>
        </w:r>
      </w:hyperlink>
    </w:p>
    <w:p w14:paraId="50C5DD0E" w14:textId="505EEA7D" w:rsidR="007D427E" w:rsidRDefault="007D427E" w:rsidP="007D427E">
      <w:pPr>
        <w:rPr>
          <w:rFonts w:ascii="Calibri" w:hAnsi="Calibri" w:cs="Calibri"/>
        </w:rPr>
      </w:pPr>
      <w:r>
        <w:object w:dxaOrig="1540" w:dyaOrig="997" w14:anchorId="27DFD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7.25pt;height:49.5pt" o:ole="">
            <v:imagedata r:id="rId7" o:title=""/>
          </v:shape>
          <o:OLEObject Type="Embed" ProgID="Word.Document.12" ShapeID="_x0000_i1037" DrawAspect="Icon" ObjectID="_1840773577" r:id="rId8">
            <o:FieldCodes>\s</o:FieldCodes>
          </o:OLEObject>
        </w:object>
      </w:r>
    </w:p>
    <w:p w14:paraId="16A89007" w14:textId="11080627" w:rsidR="00DB295A" w:rsidRPr="00C06DC6" w:rsidRDefault="00C036D7" w:rsidP="00D93D06">
      <w:pPr>
        <w:pStyle w:val="Paraststmeklis"/>
        <w:rPr>
          <w:rFonts w:ascii="Calibri" w:hAnsi="Calibri" w:cs="Calibri"/>
          <w:sz w:val="22"/>
          <w:szCs w:val="22"/>
        </w:rPr>
      </w:pPr>
      <w:r w:rsidRPr="00C06DC6">
        <w:rPr>
          <w:rFonts w:ascii="Calibri" w:hAnsi="Calibri" w:cs="Calibri"/>
          <w:sz w:val="22"/>
          <w:szCs w:val="22"/>
        </w:rPr>
        <w:t>Ar cieņu</w:t>
      </w:r>
    </w:p>
    <w:p w14:paraId="2E2158C7" w14:textId="1E46A159" w:rsidR="00C036D7" w:rsidRPr="00C06DC6" w:rsidRDefault="00C036D7" w:rsidP="00C036D7">
      <w:pPr>
        <w:jc w:val="both"/>
        <w:rPr>
          <w:rFonts w:ascii="Calibri" w:hAnsi="Calibri" w:cs="Calibri"/>
        </w:rPr>
      </w:pPr>
      <w:r w:rsidRPr="00C06DC6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0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7"/>
  </w:num>
  <w:num w:numId="5" w16cid:durableId="188951204">
    <w:abstractNumId w:val="33"/>
  </w:num>
  <w:num w:numId="6" w16cid:durableId="940835991">
    <w:abstractNumId w:val="30"/>
  </w:num>
  <w:num w:numId="7" w16cid:durableId="976836930">
    <w:abstractNumId w:val="31"/>
  </w:num>
  <w:num w:numId="8" w16cid:durableId="2009358490">
    <w:abstractNumId w:val="13"/>
  </w:num>
  <w:num w:numId="9" w16cid:durableId="928152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7"/>
  </w:num>
  <w:num w:numId="13" w16cid:durableId="116685617">
    <w:abstractNumId w:val="19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21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9"/>
  </w:num>
  <w:num w:numId="25" w16cid:durableId="43918403">
    <w:abstractNumId w:val="26"/>
  </w:num>
  <w:num w:numId="26" w16cid:durableId="2032951866">
    <w:abstractNumId w:val="24"/>
  </w:num>
  <w:num w:numId="27" w16cid:durableId="810052475">
    <w:abstractNumId w:val="28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2"/>
  </w:num>
  <w:num w:numId="31" w16cid:durableId="1439376178">
    <w:abstractNumId w:val="23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6"/>
  </w:num>
  <w:num w:numId="36" w16cid:durableId="7008785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saskanosana-esosie-liguma-dokumenti" TargetMode="External"/><Relationship Id="rId5" Type="http://schemas.openxmlformats.org/officeDocument/2006/relationships/hyperlink" Target="https://www.vmnvd.gov.lv/lv/stacionaro-veselibas-aprupes-pakalpojumu-sniedzeji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60</cp:revision>
  <dcterms:created xsi:type="dcterms:W3CDTF">2026-03-16T10:27:00Z</dcterms:created>
  <dcterms:modified xsi:type="dcterms:W3CDTF">2026-05-20T06:13:00Z</dcterms:modified>
</cp:coreProperties>
</file>