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AD86" w14:textId="37BF4671" w:rsidR="00E46A48" w:rsidRDefault="00B45283" w:rsidP="00EF11F7">
      <w:pPr>
        <w:spacing w:before="360"/>
        <w:rPr>
          <w:noProof/>
          <w:sz w:val="24"/>
        </w:rPr>
      </w:pPr>
      <w:r>
        <w:rPr>
          <w:noProof/>
          <w:lang w:eastAsia="lv-LV"/>
        </w:rPr>
        <mc:AlternateContent>
          <mc:Choice Requires="wpg">
            <w:drawing>
              <wp:anchor distT="0" distB="0" distL="114300" distR="114300" simplePos="0" relativeHeight="251658240" behindDoc="1" locked="0" layoutInCell="1" allowOverlap="1" wp14:anchorId="346EF1F9" wp14:editId="3FFE2FFF">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70C9B03"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 </w:t>
      </w:r>
    </w:p>
    <w:p w14:paraId="7C66B1EC" w14:textId="5D3C0C95" w:rsidR="00EF11F7" w:rsidRDefault="00EF11F7" w:rsidP="00EF11F7">
      <w:pPr>
        <w:spacing w:before="360"/>
        <w:rPr>
          <w:noProof/>
          <w:sz w:val="24"/>
        </w:rPr>
      </w:pPr>
    </w:p>
    <w:p w14:paraId="3622E0BA" w14:textId="63BB9308" w:rsidR="00EF11F7" w:rsidRDefault="0004666F" w:rsidP="00EF11F7">
      <w:pPr>
        <w:pStyle w:val="paragraph"/>
        <w:spacing w:before="0" w:beforeAutospacing="0" w:after="0" w:afterAutospacing="0"/>
        <w:jc w:val="center"/>
        <w:textAlignment w:val="baseline"/>
        <w:rPr>
          <w:rStyle w:val="normaltextrun"/>
          <w:color w:val="231F20"/>
          <w:sz w:val="17"/>
          <w:szCs w:val="17"/>
        </w:rPr>
      </w:pPr>
      <w:r>
        <w:rPr>
          <w:rStyle w:val="wacimagecontainer"/>
          <w:rFonts w:ascii="Segoe UI" w:hAnsi="Segoe UI" w:cs="Segoe UI"/>
          <w:noProof/>
          <w:sz w:val="18"/>
          <w:szCs w:val="18"/>
          <w:shd w:val="clear" w:color="auto" w:fill="C6C6C6"/>
        </w:rPr>
        <w:drawing>
          <wp:anchor distT="0" distB="0" distL="114300" distR="114300" simplePos="0" relativeHeight="251659264" behindDoc="0" locked="0" layoutInCell="1" allowOverlap="1" wp14:anchorId="3BB72340" wp14:editId="07C8BDF4">
            <wp:simplePos x="0" y="0"/>
            <wp:positionH relativeFrom="column">
              <wp:posOffset>-448310</wp:posOffset>
            </wp:positionH>
            <wp:positionV relativeFrom="paragraph">
              <wp:posOffset>229235</wp:posOffset>
            </wp:positionV>
            <wp:extent cx="5669280" cy="1048043"/>
            <wp:effectExtent l="0" t="0" r="7620" b="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1048043"/>
                    </a:xfrm>
                    <a:prstGeom prst="rect">
                      <a:avLst/>
                    </a:prstGeom>
                    <a:noFill/>
                    <a:ln>
                      <a:noFill/>
                    </a:ln>
                  </pic:spPr>
                </pic:pic>
              </a:graphicData>
            </a:graphic>
          </wp:anchor>
        </w:drawing>
      </w:r>
    </w:p>
    <w:p w14:paraId="7EC12828" w14:textId="6FF61790" w:rsidR="00EF11F7" w:rsidRPr="00EF11F7" w:rsidRDefault="00EF11F7" w:rsidP="00EF11F7">
      <w:pPr>
        <w:pStyle w:val="paragraph"/>
        <w:spacing w:before="0" w:beforeAutospacing="0" w:after="0" w:afterAutospacing="0"/>
        <w:jc w:val="center"/>
        <w:textAlignment w:val="baseline"/>
        <w:rPr>
          <w:rStyle w:val="eop"/>
          <w:sz w:val="17"/>
          <w:szCs w:val="17"/>
          <w:bdr w:val="none" w:sz="0" w:space="0" w:color="auto" w:frame="1"/>
          <w:shd w:val="clear" w:color="auto" w:fill="C6C6C6"/>
        </w:rPr>
      </w:pPr>
      <w:r>
        <w:rPr>
          <w:rStyle w:val="normaltextrun"/>
          <w:color w:val="231F20"/>
          <w:sz w:val="17"/>
          <w:szCs w:val="17"/>
        </w:rPr>
        <w:t>Duntes iela 22, K-5, Rīga, LV-1005, tālr. 67501590, fakss 67501591, e-pasts </w:t>
      </w:r>
      <w:hyperlink r:id="rId9" w:history="1">
        <w:r w:rsidRPr="00EF11F7">
          <w:rPr>
            <w:rStyle w:val="Hipersaite"/>
            <w:color w:val="auto"/>
            <w:sz w:val="17"/>
            <w:szCs w:val="17"/>
            <w:u w:val="none"/>
          </w:rPr>
          <w:t>pasts@spkc.gov.lv</w:t>
        </w:r>
      </w:hyperlink>
    </w:p>
    <w:p w14:paraId="627C2135" w14:textId="77777777" w:rsidR="00EF11F7" w:rsidRDefault="00EF11F7" w:rsidP="00EF11F7">
      <w:pPr>
        <w:pStyle w:val="paragraph"/>
        <w:spacing w:before="0" w:beforeAutospacing="0" w:after="0" w:afterAutospacing="0"/>
        <w:jc w:val="center"/>
        <w:textAlignment w:val="baseline"/>
        <w:rPr>
          <w:rFonts w:ascii="Segoe UI" w:hAnsi="Segoe UI" w:cs="Segoe UI"/>
          <w:sz w:val="18"/>
          <w:szCs w:val="18"/>
        </w:rPr>
      </w:pPr>
    </w:p>
    <w:p w14:paraId="532E8BD4" w14:textId="68476D03" w:rsidR="00EF11F7" w:rsidRDefault="00EF11F7" w:rsidP="00EF11F7">
      <w:pPr>
        <w:pStyle w:val="paragraph"/>
        <w:spacing w:before="0" w:beforeAutospacing="0" w:after="0" w:afterAutospacing="0"/>
        <w:jc w:val="center"/>
        <w:textAlignment w:val="baseline"/>
        <w:rPr>
          <w:rFonts w:ascii="Segoe UI" w:hAnsi="Segoe UI" w:cs="Segoe UI"/>
          <w:sz w:val="18"/>
          <w:szCs w:val="18"/>
        </w:rPr>
      </w:pPr>
      <w:r>
        <w:rPr>
          <w:rStyle w:val="normaltextrun"/>
        </w:rPr>
        <w:t>Rīgā </w:t>
      </w:r>
    </w:p>
    <w:p w14:paraId="09C1EBF4" w14:textId="48AE783C" w:rsidR="00EF11F7" w:rsidRPr="00EF11F7" w:rsidRDefault="00EF11F7" w:rsidP="00A814C3">
      <w:pPr>
        <w:pStyle w:val="Galvene"/>
        <w:tabs>
          <w:tab w:val="clear" w:pos="4320"/>
          <w:tab w:val="clear" w:pos="8640"/>
        </w:tabs>
        <w:spacing w:before="480" w:after="480"/>
        <w:ind w:right="4535"/>
        <w:jc w:val="both"/>
        <w:rPr>
          <w:rFonts w:ascii="Times New Roman" w:hAnsi="Times New Roman"/>
          <w:b/>
          <w:i/>
          <w:noProof/>
        </w:rPr>
      </w:pPr>
    </w:p>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3"/>
        <w:gridCol w:w="3687"/>
      </w:tblGrid>
      <w:tr w:rsidR="00A814C3" w:rsidRPr="00A814C3" w14:paraId="2E3ED5D4" w14:textId="77777777" w:rsidTr="003836D4">
        <w:trPr>
          <w:trHeight w:val="300"/>
        </w:trPr>
        <w:tc>
          <w:tcPr>
            <w:tcW w:w="5043" w:type="dxa"/>
            <w:tcBorders>
              <w:top w:val="nil"/>
              <w:left w:val="nil"/>
              <w:bottom w:val="nil"/>
              <w:right w:val="nil"/>
            </w:tcBorders>
            <w:hideMark/>
          </w:tcPr>
          <w:p w14:paraId="5CCE6787" w14:textId="2F9B92B3" w:rsidR="00A814C3" w:rsidRPr="00A814C3" w:rsidRDefault="00A814C3" w:rsidP="00A814C3">
            <w:pPr>
              <w:textAlignment w:val="baseline"/>
              <w:rPr>
                <w:sz w:val="24"/>
                <w:szCs w:val="24"/>
                <w:lang w:eastAsia="lv-LV"/>
              </w:rPr>
            </w:pPr>
            <w:r w:rsidRPr="00A814C3">
              <w:rPr>
                <w:color w:val="000000"/>
                <w:shd w:val="clear" w:color="auto" w:fill="E1E3E6"/>
                <w:lang w:eastAsia="lv-LV"/>
              </w:rPr>
              <w:t>«</w:t>
            </w:r>
            <w:r w:rsidRPr="00A814C3">
              <w:rPr>
                <w:color w:val="000000"/>
                <w:sz w:val="24"/>
                <w:szCs w:val="24"/>
                <w:shd w:val="clear" w:color="auto" w:fill="E1E3E6"/>
                <w:lang w:eastAsia="lv-LV"/>
              </w:rPr>
              <w:t>PIRMEPARDATUMS</w:t>
            </w:r>
            <w:r w:rsidRPr="00A814C3">
              <w:rPr>
                <w:color w:val="000000"/>
                <w:shd w:val="clear" w:color="auto" w:fill="E1E3E6"/>
                <w:lang w:eastAsia="lv-LV"/>
              </w:rPr>
              <w:t>»</w:t>
            </w:r>
            <w:r w:rsidRPr="00A814C3">
              <w:rPr>
                <w:sz w:val="24"/>
                <w:szCs w:val="24"/>
                <w:lang w:eastAsia="lv-LV"/>
              </w:rPr>
              <w:t>. </w:t>
            </w:r>
          </w:p>
          <w:p w14:paraId="75669768" w14:textId="09962886" w:rsidR="00A814C3" w:rsidRPr="00A814C3" w:rsidRDefault="00A814C3" w:rsidP="00A814C3">
            <w:pPr>
              <w:textAlignment w:val="baseline"/>
              <w:rPr>
                <w:sz w:val="24"/>
                <w:szCs w:val="24"/>
                <w:lang w:eastAsia="lv-LV"/>
              </w:rPr>
            </w:pPr>
          </w:p>
        </w:tc>
        <w:tc>
          <w:tcPr>
            <w:tcW w:w="3687" w:type="dxa"/>
            <w:tcBorders>
              <w:top w:val="nil"/>
              <w:left w:val="nil"/>
              <w:bottom w:val="nil"/>
              <w:right w:val="nil"/>
            </w:tcBorders>
            <w:hideMark/>
          </w:tcPr>
          <w:p w14:paraId="7BCB6A29" w14:textId="77777777" w:rsidR="00A814C3" w:rsidRPr="003836D4" w:rsidRDefault="00A814C3" w:rsidP="00A814C3">
            <w:pPr>
              <w:textAlignment w:val="baseline"/>
              <w:rPr>
                <w:color w:val="000000" w:themeColor="text1"/>
                <w:sz w:val="24"/>
                <w:szCs w:val="24"/>
                <w:lang w:eastAsia="lv-LV"/>
              </w:rPr>
            </w:pPr>
            <w:r w:rsidRPr="003836D4">
              <w:rPr>
                <w:color w:val="000000" w:themeColor="text1"/>
                <w:sz w:val="24"/>
                <w:szCs w:val="24"/>
                <w:lang w:eastAsia="lv-LV"/>
              </w:rPr>
              <w:t>Ārstu profesionālajām asociācijām  </w:t>
            </w:r>
          </w:p>
          <w:p w14:paraId="3FF6AAC2" w14:textId="348E2377" w:rsidR="00A814C3" w:rsidRPr="003836D4" w:rsidRDefault="00A814C3" w:rsidP="00A814C3">
            <w:pPr>
              <w:textAlignment w:val="baseline"/>
              <w:rPr>
                <w:color w:val="000000" w:themeColor="text1"/>
                <w:sz w:val="24"/>
                <w:szCs w:val="24"/>
                <w:lang w:eastAsia="lv-LV"/>
              </w:rPr>
            </w:pPr>
            <w:r w:rsidRPr="003836D4">
              <w:rPr>
                <w:color w:val="000000" w:themeColor="text1"/>
                <w:sz w:val="24"/>
                <w:szCs w:val="24"/>
                <w:lang w:eastAsia="lv-LV"/>
              </w:rPr>
              <w:t>Stacionārām ārstniecības iestādēm  </w:t>
            </w:r>
          </w:p>
          <w:p w14:paraId="7501ADF0" w14:textId="77777777" w:rsidR="00A814C3" w:rsidRPr="003836D4" w:rsidRDefault="00A814C3" w:rsidP="00A814C3">
            <w:pPr>
              <w:textAlignment w:val="baseline"/>
              <w:rPr>
                <w:color w:val="000000" w:themeColor="text1"/>
                <w:sz w:val="24"/>
                <w:szCs w:val="24"/>
                <w:lang w:eastAsia="lv-LV"/>
              </w:rPr>
            </w:pPr>
            <w:r w:rsidRPr="003836D4">
              <w:rPr>
                <w:color w:val="000000" w:themeColor="text1"/>
                <w:sz w:val="24"/>
                <w:szCs w:val="24"/>
                <w:lang w:eastAsia="lv-LV"/>
              </w:rPr>
              <w:t>(pēc pievienotā saraksta)  </w:t>
            </w:r>
          </w:p>
          <w:p w14:paraId="35310D30" w14:textId="77777777" w:rsidR="009272C8" w:rsidRPr="003836D4" w:rsidRDefault="009272C8" w:rsidP="00A814C3">
            <w:pPr>
              <w:textAlignment w:val="baseline"/>
              <w:rPr>
                <w:color w:val="000000" w:themeColor="text1"/>
                <w:sz w:val="24"/>
                <w:szCs w:val="24"/>
                <w:lang w:eastAsia="lv-LV"/>
              </w:rPr>
            </w:pPr>
          </w:p>
          <w:p w14:paraId="1608E9A0" w14:textId="77777777" w:rsidR="003836D4" w:rsidRPr="003836D4" w:rsidRDefault="009272C8" w:rsidP="00A814C3">
            <w:pPr>
              <w:textAlignment w:val="baseline"/>
              <w:rPr>
                <w:color w:val="000000" w:themeColor="text1"/>
                <w:sz w:val="24"/>
                <w:szCs w:val="24"/>
                <w:lang w:eastAsia="lv-LV"/>
              </w:rPr>
            </w:pPr>
            <w:r w:rsidRPr="003836D4">
              <w:rPr>
                <w:color w:val="000000" w:themeColor="text1"/>
                <w:sz w:val="24"/>
                <w:szCs w:val="24"/>
                <w:lang w:eastAsia="lv-LV"/>
              </w:rPr>
              <w:t xml:space="preserve">Neatliekamās medicīniskās palīdzības dienestam </w:t>
            </w:r>
          </w:p>
          <w:p w14:paraId="148C470C" w14:textId="4DF0480D" w:rsidR="009272C8" w:rsidRPr="003836D4" w:rsidRDefault="003836D4" w:rsidP="00A814C3">
            <w:pPr>
              <w:textAlignment w:val="baseline"/>
              <w:rPr>
                <w:color w:val="000000" w:themeColor="text1"/>
                <w:sz w:val="24"/>
                <w:szCs w:val="24"/>
                <w:lang w:eastAsia="lv-LV"/>
              </w:rPr>
            </w:pPr>
            <w:hyperlink r:id="rId10" w:history="1">
              <w:r w:rsidRPr="003836D4">
                <w:rPr>
                  <w:rStyle w:val="Hipersaite"/>
                  <w:color w:val="000000" w:themeColor="text1"/>
                  <w:sz w:val="24"/>
                  <w:szCs w:val="24"/>
                  <w:u w:val="none"/>
                  <w:lang w:eastAsia="lv-LV"/>
                </w:rPr>
                <w:t>e</w:t>
              </w:r>
              <w:r w:rsidRPr="003836D4">
                <w:rPr>
                  <w:rStyle w:val="Hipersaite"/>
                  <w:color w:val="000000" w:themeColor="text1"/>
                  <w:sz w:val="24"/>
                  <w:szCs w:val="24"/>
                  <w:u w:val="none"/>
                </w:rPr>
                <w:t>-adrese</w:t>
              </w:r>
            </w:hyperlink>
          </w:p>
          <w:p w14:paraId="210EC307" w14:textId="77777777" w:rsidR="009272C8" w:rsidRPr="003836D4" w:rsidRDefault="009272C8" w:rsidP="00A814C3">
            <w:pPr>
              <w:textAlignment w:val="baseline"/>
              <w:rPr>
                <w:color w:val="000000" w:themeColor="text1"/>
                <w:sz w:val="24"/>
                <w:szCs w:val="24"/>
                <w:lang w:eastAsia="lv-LV"/>
              </w:rPr>
            </w:pPr>
          </w:p>
          <w:p w14:paraId="533F73C9" w14:textId="77777777" w:rsidR="009272C8" w:rsidRPr="003836D4" w:rsidRDefault="009272C8" w:rsidP="00A814C3">
            <w:pPr>
              <w:textAlignment w:val="baseline"/>
              <w:rPr>
                <w:color w:val="000000" w:themeColor="text1"/>
                <w:sz w:val="24"/>
                <w:szCs w:val="24"/>
                <w:lang w:eastAsia="lv-LV"/>
              </w:rPr>
            </w:pPr>
            <w:r w:rsidRPr="003836D4">
              <w:rPr>
                <w:i/>
                <w:iCs/>
                <w:color w:val="000000" w:themeColor="text1"/>
                <w:sz w:val="24"/>
                <w:szCs w:val="24"/>
                <w:lang w:eastAsia="lv-LV"/>
              </w:rPr>
              <w:t>Informācijai</w:t>
            </w:r>
            <w:r w:rsidRPr="003836D4">
              <w:rPr>
                <w:color w:val="000000" w:themeColor="text1"/>
                <w:sz w:val="24"/>
                <w:szCs w:val="24"/>
                <w:lang w:eastAsia="lv-LV"/>
              </w:rPr>
              <w:t xml:space="preserve">: </w:t>
            </w:r>
          </w:p>
          <w:p w14:paraId="5F06ED6D" w14:textId="0EC83851" w:rsidR="009272C8" w:rsidRPr="003836D4" w:rsidRDefault="009272C8" w:rsidP="00A814C3">
            <w:pPr>
              <w:textAlignment w:val="baseline"/>
              <w:rPr>
                <w:color w:val="000000" w:themeColor="text1"/>
                <w:sz w:val="24"/>
                <w:szCs w:val="24"/>
                <w:lang w:eastAsia="lv-LV"/>
              </w:rPr>
            </w:pPr>
            <w:r w:rsidRPr="003836D4">
              <w:rPr>
                <w:color w:val="000000" w:themeColor="text1"/>
                <w:sz w:val="24"/>
                <w:szCs w:val="24"/>
                <w:lang w:eastAsia="lv-LV"/>
              </w:rPr>
              <w:t>Veselības ministrija</w:t>
            </w:r>
            <w:r w:rsidR="003836D4" w:rsidRPr="003836D4">
              <w:rPr>
                <w:color w:val="000000" w:themeColor="text1"/>
                <w:sz w:val="24"/>
                <w:szCs w:val="24"/>
                <w:lang w:eastAsia="lv-LV"/>
              </w:rPr>
              <w:t>;</w:t>
            </w:r>
            <w:r w:rsidRPr="003836D4">
              <w:rPr>
                <w:color w:val="000000" w:themeColor="text1"/>
                <w:sz w:val="24"/>
                <w:szCs w:val="24"/>
                <w:lang w:eastAsia="lv-LV"/>
              </w:rPr>
              <w:t xml:space="preserve"> </w:t>
            </w:r>
          </w:p>
          <w:p w14:paraId="280F73BA" w14:textId="32253F9D" w:rsidR="009272C8" w:rsidRPr="003836D4" w:rsidRDefault="009272C8" w:rsidP="00A814C3">
            <w:pPr>
              <w:textAlignment w:val="baseline"/>
              <w:rPr>
                <w:color w:val="000000" w:themeColor="text1"/>
                <w:sz w:val="24"/>
                <w:szCs w:val="24"/>
                <w:lang w:eastAsia="lv-LV"/>
              </w:rPr>
            </w:pPr>
            <w:r w:rsidRPr="003836D4">
              <w:rPr>
                <w:color w:val="000000" w:themeColor="text1"/>
                <w:sz w:val="24"/>
                <w:szCs w:val="24"/>
                <w:lang w:eastAsia="lv-LV"/>
              </w:rPr>
              <w:t>Veselības inspekcija</w:t>
            </w:r>
            <w:r w:rsidR="003836D4" w:rsidRPr="003836D4">
              <w:rPr>
                <w:color w:val="000000" w:themeColor="text1"/>
                <w:sz w:val="24"/>
                <w:szCs w:val="24"/>
                <w:lang w:eastAsia="lv-LV"/>
              </w:rPr>
              <w:t>;</w:t>
            </w:r>
          </w:p>
          <w:p w14:paraId="4C3A9F46" w14:textId="450A2593" w:rsidR="009272C8" w:rsidRPr="003836D4" w:rsidRDefault="009272C8" w:rsidP="00A814C3">
            <w:pPr>
              <w:textAlignment w:val="baseline"/>
              <w:rPr>
                <w:color w:val="000000" w:themeColor="text1"/>
                <w:sz w:val="24"/>
                <w:szCs w:val="24"/>
                <w:lang w:eastAsia="lv-LV"/>
              </w:rPr>
            </w:pPr>
            <w:r w:rsidRPr="003836D4">
              <w:rPr>
                <w:color w:val="000000" w:themeColor="text1"/>
                <w:sz w:val="24"/>
                <w:szCs w:val="24"/>
                <w:lang w:eastAsia="lv-LV"/>
              </w:rPr>
              <w:t>Nacionālais veselības dienest</w:t>
            </w:r>
            <w:r w:rsidR="003836D4" w:rsidRPr="003836D4">
              <w:rPr>
                <w:color w:val="000000" w:themeColor="text1"/>
                <w:sz w:val="24"/>
                <w:szCs w:val="24"/>
                <w:lang w:eastAsia="lv-LV"/>
              </w:rPr>
              <w:t>s;</w:t>
            </w:r>
            <w:r w:rsidRPr="003836D4">
              <w:rPr>
                <w:color w:val="000000" w:themeColor="text1"/>
                <w:sz w:val="24"/>
                <w:szCs w:val="24"/>
                <w:lang w:eastAsia="lv-LV"/>
              </w:rPr>
              <w:t xml:space="preserve"> </w:t>
            </w:r>
          </w:p>
          <w:p w14:paraId="198ADABC" w14:textId="77777777" w:rsidR="009272C8" w:rsidRPr="003836D4" w:rsidRDefault="00A814C3" w:rsidP="00A814C3">
            <w:pPr>
              <w:textAlignment w:val="baseline"/>
              <w:rPr>
                <w:color w:val="000000" w:themeColor="text1"/>
                <w:sz w:val="24"/>
                <w:szCs w:val="24"/>
                <w:lang w:eastAsia="lv-LV"/>
              </w:rPr>
            </w:pPr>
            <w:r w:rsidRPr="003836D4">
              <w:rPr>
                <w:color w:val="000000" w:themeColor="text1"/>
                <w:sz w:val="24"/>
                <w:szCs w:val="24"/>
                <w:lang w:eastAsia="lv-LV"/>
              </w:rPr>
              <w:t>Pārtikas un veterinārajām dienests</w:t>
            </w:r>
          </w:p>
          <w:p w14:paraId="2A7038C6" w14:textId="38E7FDC3" w:rsidR="00A814C3" w:rsidRPr="003836D4" w:rsidRDefault="003836D4" w:rsidP="00A814C3">
            <w:pPr>
              <w:textAlignment w:val="baseline"/>
              <w:rPr>
                <w:color w:val="000000" w:themeColor="text1"/>
                <w:sz w:val="24"/>
                <w:szCs w:val="24"/>
                <w:lang w:eastAsia="lv-LV"/>
              </w:rPr>
            </w:pPr>
            <w:r w:rsidRPr="003836D4">
              <w:rPr>
                <w:color w:val="000000" w:themeColor="text1"/>
                <w:sz w:val="24"/>
                <w:szCs w:val="24"/>
              </w:rPr>
              <w:t>e-adreses</w:t>
            </w:r>
          </w:p>
        </w:tc>
      </w:tr>
    </w:tbl>
    <w:p w14:paraId="3B9DEDF3" w14:textId="5F650BBF" w:rsidR="00A814C3" w:rsidRDefault="00A814C3" w:rsidP="003836D4">
      <w:pPr>
        <w:spacing w:before="480" w:after="480"/>
        <w:ind w:right="4530"/>
        <w:jc w:val="both"/>
        <w:textAlignment w:val="baseline"/>
        <w:rPr>
          <w:sz w:val="24"/>
          <w:szCs w:val="24"/>
          <w:bdr w:val="none" w:sz="0" w:space="0" w:color="auto" w:frame="1"/>
          <w:shd w:val="clear" w:color="auto" w:fill="C6C6C6"/>
          <w:lang w:eastAsia="lv-LV"/>
        </w:rPr>
      </w:pPr>
      <w:r w:rsidRPr="00A814C3">
        <w:rPr>
          <w:b/>
          <w:bCs/>
          <w:i/>
          <w:iCs/>
          <w:sz w:val="24"/>
          <w:szCs w:val="24"/>
          <w:lang w:eastAsia="lv-LV"/>
        </w:rPr>
        <w:t>Par </w:t>
      </w:r>
      <w:proofErr w:type="spellStart"/>
      <w:r w:rsidRPr="00A814C3">
        <w:rPr>
          <w:b/>
          <w:bCs/>
          <w:i/>
          <w:iCs/>
          <w:sz w:val="24"/>
          <w:szCs w:val="24"/>
          <w:lang w:eastAsia="lv-LV"/>
        </w:rPr>
        <w:t>Rietumnīlas</w:t>
      </w:r>
      <w:proofErr w:type="spellEnd"/>
      <w:r w:rsidRPr="00A814C3">
        <w:rPr>
          <w:b/>
          <w:bCs/>
          <w:i/>
          <w:iCs/>
          <w:sz w:val="24"/>
          <w:szCs w:val="24"/>
          <w:lang w:eastAsia="lv-LV"/>
        </w:rPr>
        <w:t> drudzi</w:t>
      </w:r>
    </w:p>
    <w:p w14:paraId="7F8E1B72" w14:textId="77777777" w:rsidR="009272C8" w:rsidRPr="009272C8" w:rsidRDefault="009272C8" w:rsidP="009272C8">
      <w:pPr>
        <w:widowControl w:val="0"/>
        <w:tabs>
          <w:tab w:val="center" w:pos="4320"/>
          <w:tab w:val="right" w:pos="8640"/>
        </w:tabs>
        <w:spacing w:before="240" w:after="240" w:line="259" w:lineRule="auto"/>
        <w:ind w:firstLine="720"/>
        <w:contextualSpacing/>
        <w:jc w:val="both"/>
        <w:rPr>
          <w:noProof/>
          <w:color w:val="000000" w:themeColor="text1"/>
          <w:sz w:val="24"/>
          <w:szCs w:val="24"/>
          <w:vertAlign w:val="superscript"/>
        </w:rPr>
      </w:pPr>
      <w:r w:rsidRPr="009272C8">
        <w:rPr>
          <w:noProof/>
          <w:sz w:val="24"/>
          <w:szCs w:val="24"/>
        </w:rPr>
        <w:t>Ņemot vērā Rietumnīlas drudža pieaugošo izplatību Eiropā pēdējo sezonu laikā</w:t>
      </w:r>
      <w:r w:rsidRPr="009272C8">
        <w:rPr>
          <w:noProof/>
          <w:color w:val="000000" w:themeColor="text1"/>
          <w:sz w:val="24"/>
          <w:szCs w:val="24"/>
          <w:vertAlign w:val="superscript"/>
        </w:rPr>
        <w:footnoteReference w:id="1"/>
      </w:r>
      <w:r w:rsidRPr="009272C8">
        <w:rPr>
          <w:noProof/>
          <w:sz w:val="24"/>
          <w:szCs w:val="24"/>
        </w:rPr>
        <w:t>, Slimību profilakses un kontroles centrs (turpmāk – Centrs) aicina ārstniecības personas 2026. gada odu aktivitātes sezonā (parasti no jūnija līdz novembrim) saglabāt paaugstinātu klīnisko modrību un savlaicīgi izvērtēt Rietumnīlas drudža diagnozes iespējamību pacientiem ar atbilstošu klīnisko ainu. Tāpāt</w:t>
      </w:r>
      <w:r w:rsidRPr="009272C8">
        <w:rPr>
          <w:noProof/>
          <w:color w:val="000000" w:themeColor="text1"/>
          <w:sz w:val="24"/>
          <w:szCs w:val="24"/>
        </w:rPr>
        <w:t xml:space="preserve"> </w:t>
      </w:r>
      <w:r w:rsidRPr="009272C8">
        <w:rPr>
          <w:noProof/>
          <w:sz w:val="24"/>
          <w:szCs w:val="24"/>
        </w:rPr>
        <w:t>Centrs aicina nodrošināt nepieciešamo laboratorisko izmeklēšanu un ziņot par aizdomīgiem un apstiprinātiem Rietumnīlas drudža gadījumiem.</w:t>
      </w:r>
    </w:p>
    <w:p w14:paraId="09BFE9B7" w14:textId="77777777" w:rsidR="009272C8" w:rsidRPr="009272C8" w:rsidRDefault="009272C8" w:rsidP="009272C8">
      <w:pPr>
        <w:widowControl w:val="0"/>
        <w:tabs>
          <w:tab w:val="center" w:pos="4320"/>
          <w:tab w:val="right" w:pos="8640"/>
        </w:tabs>
        <w:spacing w:before="240" w:after="240" w:line="259" w:lineRule="auto"/>
        <w:ind w:firstLine="720"/>
        <w:contextualSpacing/>
        <w:jc w:val="both"/>
        <w:rPr>
          <w:noProof/>
          <w:color w:val="000000" w:themeColor="text1"/>
          <w:sz w:val="24"/>
          <w:szCs w:val="24"/>
        </w:rPr>
      </w:pPr>
      <w:r w:rsidRPr="009272C8">
        <w:rPr>
          <w:noProof/>
          <w:color w:val="000000" w:themeColor="text1"/>
          <w:sz w:val="24"/>
          <w:szCs w:val="24"/>
        </w:rPr>
        <w:t xml:space="preserve">Atgādinām, ka arī </w:t>
      </w:r>
      <w:r w:rsidRPr="009272C8">
        <w:rPr>
          <w:noProof/>
          <w:sz w:val="24"/>
          <w:szCs w:val="24"/>
        </w:rPr>
        <w:t xml:space="preserve">Latvijā tika laboratoriski apstiprināta Rietmnīlas drudža vīrusa cirkulāciju – 2024. gadā infekcija tika konstatēta savvaļas putnam Rīgā. </w:t>
      </w:r>
      <w:r w:rsidRPr="009272C8">
        <w:rPr>
          <w:noProof/>
          <w:color w:val="000000" w:themeColor="text1"/>
          <w:sz w:val="24"/>
          <w:szCs w:val="24"/>
        </w:rPr>
        <w:t xml:space="preserve">Turklāt Latvijā ir reģistrēti Rietumnīlas drudža gadījumi, kas saistīti ar ceļošanu uz ārvalstīm: viens gadījums 2017. gadā, kas bija saistīts ar ceļojumu uz Malagu (Spānija), un viens gadījums </w:t>
      </w:r>
      <w:r w:rsidRPr="009272C8">
        <w:rPr>
          <w:noProof/>
          <w:color w:val="000000" w:themeColor="text1"/>
          <w:sz w:val="24"/>
          <w:szCs w:val="24"/>
        </w:rPr>
        <w:lastRenderedPageBreak/>
        <w:t>2024. gadā saistībā ar ceļojumu uz Hurgadu (Ēģipte).</w:t>
      </w:r>
    </w:p>
    <w:p w14:paraId="2275CA5A" w14:textId="1933618A" w:rsidR="009272C8" w:rsidRDefault="009272C8" w:rsidP="009272C8">
      <w:pPr>
        <w:widowControl w:val="0"/>
        <w:tabs>
          <w:tab w:val="center" w:pos="4320"/>
          <w:tab w:val="right" w:pos="8640"/>
        </w:tabs>
        <w:ind w:firstLine="720"/>
        <w:contextualSpacing/>
        <w:jc w:val="both"/>
        <w:rPr>
          <w:noProof/>
          <w:color w:val="000000" w:themeColor="text1"/>
          <w:sz w:val="24"/>
          <w:szCs w:val="24"/>
        </w:rPr>
      </w:pPr>
      <w:r w:rsidRPr="009272C8">
        <w:rPr>
          <w:noProof/>
          <w:color w:val="000000" w:themeColor="text1"/>
          <w:sz w:val="24"/>
          <w:szCs w:val="24"/>
        </w:rPr>
        <w:t xml:space="preserve"> Rietumnīlas vīruss tiek pārnests ar odu kodumiem starp putniem. Inficēties var arī cilvēki, zirgi un citi zīdītāji. Rietumnīlas vīruss var izplatīties starp cilvēkiem arī asins pārliešanas un orgānu transplantācijas ceļā, no mātes bērnam grūtniecības un zīdīšanas laikā, kā arī laboratorijās. Rietumnīlas vīrusa infekcijas inkubācijas periods parasti ilgst 2–6 dienas, savukārt personām ar imūndeficītu tas var pagarināties līdz 21 dienai.</w:t>
      </w:r>
    </w:p>
    <w:p w14:paraId="1B9E129D" w14:textId="4B2DD5D7" w:rsidR="00FC1F99" w:rsidRDefault="00FC1F99" w:rsidP="00FC1F99">
      <w:pPr>
        <w:widowControl w:val="0"/>
        <w:tabs>
          <w:tab w:val="center" w:pos="4320"/>
          <w:tab w:val="right" w:pos="8640"/>
        </w:tabs>
        <w:ind w:firstLine="720"/>
        <w:contextualSpacing/>
        <w:jc w:val="both"/>
        <w:rPr>
          <w:noProof/>
          <w:color w:val="000000" w:themeColor="text1"/>
          <w:sz w:val="24"/>
          <w:szCs w:val="24"/>
        </w:rPr>
      </w:pPr>
      <w:r w:rsidRPr="009272C8">
        <w:rPr>
          <w:noProof/>
          <w:color w:val="000000" w:themeColor="text1"/>
          <w:sz w:val="24"/>
          <w:szCs w:val="24"/>
        </w:rPr>
        <w:t>Aptuveni 80 % inficēšanās gadījumu cilvēkiem norit bez simptomiem, savukārt apmēram 20 % gadījumu Rietumnīlas vīruss izraisa drudžainu slimības formu, kurai raksturīgas šādas pazīmes: galvassāpes, nespēks, ķermeņa temperatūras paaugstināšanās, mialģija, vemšana, izsitumi, nogurums, sāpes acīs. Mazāk nekā vienam procentam inficēto attīstās neiroinvazīvā slimības forma, piemēram, meningīts vai encefalīts. Eiropas Savienībā tiek izmantota vienota Rietumnīlas infekcijas gadījuma definīcija</w:t>
      </w:r>
      <w:r w:rsidRPr="009272C8">
        <w:rPr>
          <w:noProof/>
          <w:color w:val="000000" w:themeColor="text1"/>
          <w:sz w:val="24"/>
          <w:szCs w:val="24"/>
          <w:vertAlign w:val="superscript"/>
        </w:rPr>
        <w:footnoteReference w:id="2"/>
      </w:r>
      <w:r w:rsidRPr="009272C8">
        <w:rPr>
          <w:noProof/>
          <w:color w:val="000000" w:themeColor="text1"/>
          <w:sz w:val="24"/>
          <w:szCs w:val="24"/>
        </w:rPr>
        <w:t>:</w:t>
      </w:r>
    </w:p>
    <w:p w14:paraId="427D8DA6" w14:textId="77777777" w:rsidR="00FC1F99" w:rsidRDefault="00FC1F99" w:rsidP="00FC1F99">
      <w:pPr>
        <w:widowControl w:val="0"/>
        <w:tabs>
          <w:tab w:val="center" w:pos="4320"/>
          <w:tab w:val="right" w:pos="8640"/>
        </w:tabs>
        <w:ind w:firstLine="720"/>
        <w:contextualSpacing/>
        <w:jc w:val="both"/>
        <w:rPr>
          <w:noProof/>
          <w:color w:val="000000" w:themeColor="text1"/>
          <w:sz w:val="24"/>
          <w:szCs w:val="24"/>
        </w:rPr>
      </w:pPr>
    </w:p>
    <w:tbl>
      <w:tblPr>
        <w:tblStyle w:val="Reatabula"/>
        <w:tblW w:w="0" w:type="auto"/>
        <w:tblLook w:val="04A0" w:firstRow="1" w:lastRow="0" w:firstColumn="1" w:lastColumn="0" w:noHBand="0" w:noVBand="1"/>
      </w:tblPr>
      <w:tblGrid>
        <w:gridCol w:w="2515"/>
        <w:gridCol w:w="2777"/>
        <w:gridCol w:w="3158"/>
      </w:tblGrid>
      <w:tr w:rsidR="00FC1F99" w:rsidRPr="00FC1F99" w14:paraId="6AD18313" w14:textId="77777777" w:rsidTr="000F6A94">
        <w:trPr>
          <w:trHeight w:val="395"/>
        </w:trPr>
        <w:tc>
          <w:tcPr>
            <w:tcW w:w="2515" w:type="dxa"/>
            <w:vAlign w:val="center"/>
          </w:tcPr>
          <w:p w14:paraId="269C8934" w14:textId="77777777" w:rsidR="000F6A94" w:rsidRDefault="00FC1F99" w:rsidP="000F6A94">
            <w:pPr>
              <w:widowControl w:val="0"/>
              <w:tabs>
                <w:tab w:val="center" w:pos="4320"/>
                <w:tab w:val="right" w:pos="8640"/>
              </w:tabs>
              <w:contextualSpacing/>
              <w:jc w:val="center"/>
              <w:rPr>
                <w:b/>
                <w:bCs/>
                <w:sz w:val="24"/>
                <w:szCs w:val="24"/>
              </w:rPr>
            </w:pPr>
            <w:r w:rsidRPr="000F6A94">
              <w:rPr>
                <w:b/>
                <w:bCs/>
                <w:sz w:val="24"/>
                <w:szCs w:val="24"/>
              </w:rPr>
              <w:t xml:space="preserve">Klīniskie </w:t>
            </w:r>
          </w:p>
          <w:p w14:paraId="33BE387A" w14:textId="5E921E2D" w:rsidR="00FC1F99" w:rsidRPr="000F6A94" w:rsidRDefault="00FC1F99" w:rsidP="000F6A94">
            <w:pPr>
              <w:widowControl w:val="0"/>
              <w:tabs>
                <w:tab w:val="center" w:pos="4320"/>
                <w:tab w:val="right" w:pos="8640"/>
              </w:tabs>
              <w:contextualSpacing/>
              <w:jc w:val="center"/>
              <w:rPr>
                <w:b/>
                <w:bCs/>
                <w:noProof/>
                <w:color w:val="000000" w:themeColor="text1"/>
                <w:sz w:val="24"/>
                <w:szCs w:val="24"/>
              </w:rPr>
            </w:pPr>
            <w:r w:rsidRPr="000F6A94">
              <w:rPr>
                <w:b/>
                <w:bCs/>
                <w:sz w:val="24"/>
                <w:szCs w:val="24"/>
              </w:rPr>
              <w:t>kritēriji</w:t>
            </w:r>
          </w:p>
        </w:tc>
        <w:tc>
          <w:tcPr>
            <w:tcW w:w="2777" w:type="dxa"/>
            <w:vAlign w:val="center"/>
          </w:tcPr>
          <w:p w14:paraId="460F9348" w14:textId="77777777" w:rsidR="000F6A94" w:rsidRDefault="00FC1F99" w:rsidP="000F6A94">
            <w:pPr>
              <w:widowControl w:val="0"/>
              <w:tabs>
                <w:tab w:val="center" w:pos="4320"/>
                <w:tab w:val="right" w:pos="8640"/>
              </w:tabs>
              <w:contextualSpacing/>
              <w:jc w:val="center"/>
              <w:rPr>
                <w:b/>
                <w:bCs/>
                <w:sz w:val="24"/>
                <w:szCs w:val="24"/>
              </w:rPr>
            </w:pPr>
            <w:r w:rsidRPr="000F6A94">
              <w:rPr>
                <w:b/>
                <w:bCs/>
                <w:sz w:val="24"/>
                <w:szCs w:val="24"/>
              </w:rPr>
              <w:t xml:space="preserve">Laboratoriskie </w:t>
            </w:r>
          </w:p>
          <w:p w14:paraId="2389713F" w14:textId="45CF8AE0" w:rsidR="00FC1F99" w:rsidRPr="000F6A94" w:rsidRDefault="00FC1F99" w:rsidP="000F6A94">
            <w:pPr>
              <w:widowControl w:val="0"/>
              <w:tabs>
                <w:tab w:val="center" w:pos="4320"/>
                <w:tab w:val="right" w:pos="8640"/>
              </w:tabs>
              <w:contextualSpacing/>
              <w:jc w:val="center"/>
              <w:rPr>
                <w:b/>
                <w:bCs/>
                <w:noProof/>
                <w:color w:val="000000" w:themeColor="text1"/>
                <w:sz w:val="24"/>
                <w:szCs w:val="24"/>
              </w:rPr>
            </w:pPr>
            <w:r w:rsidRPr="000F6A94">
              <w:rPr>
                <w:b/>
                <w:bCs/>
                <w:sz w:val="24"/>
                <w:szCs w:val="24"/>
              </w:rPr>
              <w:t>kritēriji</w:t>
            </w:r>
          </w:p>
        </w:tc>
        <w:tc>
          <w:tcPr>
            <w:tcW w:w="0" w:type="auto"/>
            <w:vAlign w:val="center"/>
          </w:tcPr>
          <w:p w14:paraId="1C3203FC" w14:textId="77777777" w:rsidR="000F6A94" w:rsidRDefault="00FC1F99" w:rsidP="000F6A94">
            <w:pPr>
              <w:widowControl w:val="0"/>
              <w:tabs>
                <w:tab w:val="center" w:pos="4320"/>
                <w:tab w:val="right" w:pos="8640"/>
              </w:tabs>
              <w:contextualSpacing/>
              <w:jc w:val="center"/>
              <w:rPr>
                <w:b/>
                <w:bCs/>
                <w:sz w:val="24"/>
                <w:szCs w:val="24"/>
              </w:rPr>
            </w:pPr>
            <w:r w:rsidRPr="000F6A94">
              <w:rPr>
                <w:b/>
                <w:bCs/>
                <w:sz w:val="24"/>
                <w:szCs w:val="24"/>
              </w:rPr>
              <w:t xml:space="preserve">Epidemioloģiskie </w:t>
            </w:r>
          </w:p>
          <w:p w14:paraId="6ACA37F4" w14:textId="17907700" w:rsidR="00FC1F99" w:rsidRPr="000F6A94" w:rsidRDefault="00FC1F99" w:rsidP="000F6A94">
            <w:pPr>
              <w:widowControl w:val="0"/>
              <w:tabs>
                <w:tab w:val="center" w:pos="4320"/>
                <w:tab w:val="right" w:pos="8640"/>
              </w:tabs>
              <w:contextualSpacing/>
              <w:jc w:val="center"/>
              <w:rPr>
                <w:b/>
                <w:bCs/>
                <w:noProof/>
                <w:color w:val="000000" w:themeColor="text1"/>
                <w:sz w:val="24"/>
                <w:szCs w:val="24"/>
              </w:rPr>
            </w:pPr>
            <w:r w:rsidRPr="000F6A94">
              <w:rPr>
                <w:b/>
                <w:bCs/>
                <w:sz w:val="24"/>
                <w:szCs w:val="24"/>
              </w:rPr>
              <w:t>kritēriji</w:t>
            </w:r>
          </w:p>
        </w:tc>
      </w:tr>
      <w:tr w:rsidR="00FC1F99" w:rsidRPr="00FC1F99" w14:paraId="3908152B" w14:textId="77777777" w:rsidTr="000F6A94">
        <w:tc>
          <w:tcPr>
            <w:tcW w:w="2515" w:type="dxa"/>
          </w:tcPr>
          <w:p w14:paraId="20CE0E13" w14:textId="77777777" w:rsidR="00FC1F99" w:rsidRPr="00FC1F99" w:rsidRDefault="00FC1F99" w:rsidP="00FC1F99">
            <w:pPr>
              <w:widowControl w:val="0"/>
              <w:tabs>
                <w:tab w:val="center" w:pos="4320"/>
                <w:tab w:val="right" w:pos="8640"/>
              </w:tabs>
              <w:contextualSpacing/>
              <w:rPr>
                <w:rFonts w:asciiTheme="majorBidi" w:hAnsiTheme="majorBidi" w:cstheme="majorBidi"/>
                <w:b/>
                <w:bCs/>
                <w:noProof/>
                <w:color w:val="000000" w:themeColor="text1"/>
                <w:sz w:val="24"/>
                <w:szCs w:val="24"/>
              </w:rPr>
            </w:pPr>
          </w:p>
          <w:p w14:paraId="434EA2BC" w14:textId="0E6DAE8D" w:rsidR="00FC1F99" w:rsidRPr="00FC1F99" w:rsidRDefault="00FC1F99" w:rsidP="00FC1F99">
            <w:pPr>
              <w:widowControl w:val="0"/>
              <w:tabs>
                <w:tab w:val="center" w:pos="4320"/>
                <w:tab w:val="right" w:pos="8640"/>
              </w:tabs>
              <w:contextualSpacing/>
              <w:rPr>
                <w:rFonts w:asciiTheme="majorBidi" w:hAnsiTheme="majorBidi" w:cstheme="majorBidi"/>
                <w:b/>
                <w:bCs/>
                <w:noProof/>
                <w:color w:val="000000" w:themeColor="text1"/>
                <w:sz w:val="24"/>
                <w:szCs w:val="24"/>
              </w:rPr>
            </w:pPr>
            <w:r w:rsidRPr="00FC1F99">
              <w:rPr>
                <w:rFonts w:asciiTheme="majorBidi" w:hAnsiTheme="majorBidi" w:cstheme="majorBidi"/>
                <w:b/>
                <w:bCs/>
                <w:noProof/>
                <w:color w:val="000000" w:themeColor="text1"/>
                <w:sz w:val="24"/>
                <w:szCs w:val="24"/>
              </w:rPr>
              <w:t>Vismaz viens no šādiem trim simptomiem:</w:t>
            </w:r>
          </w:p>
          <w:p w14:paraId="55691912" w14:textId="77777777" w:rsidR="00FC1F99" w:rsidRPr="00FC1F99" w:rsidRDefault="00FC1F99" w:rsidP="00FC1F99">
            <w:pPr>
              <w:pStyle w:val="Sarakstarindkopa"/>
              <w:widowControl w:val="0"/>
              <w:numPr>
                <w:ilvl w:val="0"/>
                <w:numId w:val="5"/>
              </w:numPr>
              <w:tabs>
                <w:tab w:val="center" w:pos="4320"/>
                <w:tab w:val="right" w:pos="8640"/>
              </w:tabs>
              <w:rPr>
                <w:rFonts w:asciiTheme="majorBidi" w:hAnsiTheme="majorBidi" w:cstheme="majorBidi"/>
                <w:b/>
                <w:bCs/>
                <w:noProof/>
                <w:color w:val="000000" w:themeColor="text1"/>
                <w:sz w:val="24"/>
                <w:szCs w:val="24"/>
              </w:rPr>
            </w:pPr>
            <w:r w:rsidRPr="00FC1F99">
              <w:rPr>
                <w:rFonts w:asciiTheme="majorBidi" w:hAnsiTheme="majorBidi" w:cstheme="majorBidi"/>
                <w:b/>
                <w:bCs/>
                <w:noProof/>
                <w:color w:val="000000" w:themeColor="text1"/>
                <w:sz w:val="24"/>
                <w:szCs w:val="24"/>
              </w:rPr>
              <w:t>jebkura persona, kam ir drudzis,</w:t>
            </w:r>
          </w:p>
          <w:p w14:paraId="3DB0FB5F" w14:textId="77777777" w:rsidR="00FC1F99" w:rsidRPr="00FC1F99" w:rsidRDefault="00FC1F99" w:rsidP="00FC1F99">
            <w:pPr>
              <w:pStyle w:val="Sarakstarindkopa"/>
              <w:widowControl w:val="0"/>
              <w:numPr>
                <w:ilvl w:val="0"/>
                <w:numId w:val="5"/>
              </w:numPr>
              <w:tabs>
                <w:tab w:val="center" w:pos="4320"/>
                <w:tab w:val="right" w:pos="8640"/>
              </w:tabs>
              <w:rPr>
                <w:rFonts w:asciiTheme="majorBidi" w:hAnsiTheme="majorBidi" w:cstheme="majorBidi"/>
                <w:b/>
                <w:bCs/>
                <w:noProof/>
                <w:color w:val="000000" w:themeColor="text1"/>
                <w:sz w:val="24"/>
                <w:szCs w:val="24"/>
              </w:rPr>
            </w:pPr>
            <w:r w:rsidRPr="00FC1F99">
              <w:rPr>
                <w:rFonts w:asciiTheme="majorBidi" w:hAnsiTheme="majorBidi" w:cstheme="majorBidi"/>
                <w:b/>
                <w:bCs/>
                <w:noProof/>
                <w:color w:val="000000" w:themeColor="text1"/>
                <w:sz w:val="24"/>
                <w:szCs w:val="24"/>
              </w:rPr>
              <w:t>encefalīts,</w:t>
            </w:r>
          </w:p>
          <w:p w14:paraId="029E5E6D" w14:textId="12AE243D" w:rsidR="00FC1F99" w:rsidRPr="00FC1F99" w:rsidRDefault="00FC1F99" w:rsidP="00FC1F99">
            <w:pPr>
              <w:pStyle w:val="Sarakstarindkopa"/>
              <w:widowControl w:val="0"/>
              <w:numPr>
                <w:ilvl w:val="0"/>
                <w:numId w:val="5"/>
              </w:numPr>
              <w:tabs>
                <w:tab w:val="center" w:pos="4320"/>
                <w:tab w:val="right" w:pos="8640"/>
              </w:tabs>
              <w:rPr>
                <w:rFonts w:asciiTheme="majorBidi" w:hAnsiTheme="majorBidi" w:cstheme="majorBidi"/>
                <w:b/>
                <w:bCs/>
                <w:noProof/>
                <w:color w:val="000000" w:themeColor="text1"/>
                <w:sz w:val="24"/>
                <w:szCs w:val="24"/>
              </w:rPr>
            </w:pPr>
            <w:r w:rsidRPr="00FC1F99">
              <w:rPr>
                <w:rFonts w:asciiTheme="majorBidi" w:hAnsiTheme="majorBidi" w:cstheme="majorBidi"/>
                <w:b/>
                <w:bCs/>
                <w:noProof/>
                <w:color w:val="000000" w:themeColor="text1"/>
                <w:sz w:val="24"/>
                <w:szCs w:val="24"/>
              </w:rPr>
              <w:t>meningīts.</w:t>
            </w:r>
          </w:p>
        </w:tc>
        <w:tc>
          <w:tcPr>
            <w:tcW w:w="2777" w:type="dxa"/>
          </w:tcPr>
          <w:p w14:paraId="126EB780" w14:textId="77777777"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p>
          <w:p w14:paraId="6108E599" w14:textId="77777777"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Vismaz viens no šādiem četriem testiem:</w:t>
            </w:r>
          </w:p>
          <w:p w14:paraId="2807F7E4" w14:textId="286FB895" w:rsidR="00FC1F99" w:rsidRPr="00FC1F99" w:rsidRDefault="00FC1F99" w:rsidP="00FC1F99">
            <w:pPr>
              <w:pStyle w:val="Sarakstarindkopa"/>
              <w:widowControl w:val="0"/>
              <w:numPr>
                <w:ilvl w:val="0"/>
                <w:numId w:val="8"/>
              </w:numPr>
              <w:tabs>
                <w:tab w:val="center" w:pos="4320"/>
                <w:tab w:val="right" w:pos="8640"/>
              </w:tabs>
              <w:ind w:left="451" w:hanging="180"/>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Rietumnīlas vīrusa izolēšana no asinīm vai cerebrospinālā šķidruma,</w:t>
            </w:r>
          </w:p>
          <w:p w14:paraId="54BDAF2F" w14:textId="1E573528" w:rsidR="00FC1F99" w:rsidRPr="00FC1F99" w:rsidRDefault="00FC1F99" w:rsidP="00FC1F99">
            <w:pPr>
              <w:pStyle w:val="Sarakstarindkopa"/>
              <w:widowControl w:val="0"/>
              <w:numPr>
                <w:ilvl w:val="1"/>
                <w:numId w:val="7"/>
              </w:numPr>
              <w:tabs>
                <w:tab w:val="center" w:pos="4320"/>
                <w:tab w:val="right" w:pos="8640"/>
              </w:tabs>
              <w:ind w:left="451" w:hanging="180"/>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Rietumnīlas vīrusa nukleīnskābes noteikšana asinīs vai cerebrospinālajā šķidrumā,</w:t>
            </w:r>
          </w:p>
          <w:p w14:paraId="0BF67140" w14:textId="659D5E64" w:rsidR="00FC1F99" w:rsidRPr="00FC1F99" w:rsidRDefault="00FC1F99" w:rsidP="00FC1F99">
            <w:pPr>
              <w:pStyle w:val="Sarakstarindkopa"/>
              <w:widowControl w:val="0"/>
              <w:numPr>
                <w:ilvl w:val="1"/>
                <w:numId w:val="7"/>
              </w:numPr>
              <w:tabs>
                <w:tab w:val="center" w:pos="4320"/>
                <w:tab w:val="right" w:pos="8640"/>
              </w:tabs>
              <w:ind w:left="451" w:hanging="180"/>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Rietumnīlas vīrusa specifisko antivielu (IgM) veidošanās cerebrospinālajā šķidrumā,</w:t>
            </w:r>
          </w:p>
          <w:p w14:paraId="5C432C98" w14:textId="59DE99A1" w:rsidR="000F6A94" w:rsidRPr="000F6A94" w:rsidRDefault="00FC1F99" w:rsidP="000F6A94">
            <w:pPr>
              <w:pStyle w:val="Sarakstarindkopa"/>
              <w:widowControl w:val="0"/>
              <w:numPr>
                <w:ilvl w:val="1"/>
                <w:numId w:val="7"/>
              </w:numPr>
              <w:tabs>
                <w:tab w:val="center" w:pos="4320"/>
                <w:tab w:val="right" w:pos="8640"/>
              </w:tabs>
              <w:ind w:left="451" w:hanging="180"/>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augsta Rietumnīlas vīrusa IgM antivielu titra UN IgG antivielu noteikšana UN apstiprināšana ar vīrusneitralizāciju.</w:t>
            </w:r>
          </w:p>
          <w:p w14:paraId="48028120" w14:textId="77777777" w:rsidR="00FC1F99" w:rsidRPr="00FC1F99" w:rsidRDefault="00FC1F99" w:rsidP="00FC1F99">
            <w:pPr>
              <w:widowControl w:val="0"/>
              <w:tabs>
                <w:tab w:val="center" w:pos="4320"/>
                <w:tab w:val="right" w:pos="8640"/>
              </w:tabs>
              <w:contextualSpacing/>
              <w:rPr>
                <w:rFonts w:asciiTheme="majorBidi" w:hAnsiTheme="majorBidi" w:cstheme="majorBidi"/>
                <w:b/>
                <w:bCs/>
                <w:i/>
                <w:iCs/>
                <w:noProof/>
                <w:color w:val="000000" w:themeColor="text1"/>
                <w:sz w:val="24"/>
                <w:szCs w:val="24"/>
              </w:rPr>
            </w:pPr>
            <w:r w:rsidRPr="00FC1F99">
              <w:rPr>
                <w:rFonts w:asciiTheme="majorBidi" w:hAnsiTheme="majorBidi" w:cstheme="majorBidi"/>
                <w:b/>
                <w:bCs/>
                <w:i/>
                <w:iCs/>
                <w:noProof/>
                <w:color w:val="000000" w:themeColor="text1"/>
                <w:sz w:val="24"/>
                <w:szCs w:val="24"/>
              </w:rPr>
              <w:t>Varbūtīga gadījuma laboratoriskais tests</w:t>
            </w:r>
          </w:p>
          <w:p w14:paraId="10992C14" w14:textId="23207AE6"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 xml:space="preserve">Rietumnīlas vīrusa specifisko antivielu veidošanās serumā. Laboratorisko testu rezultāti jāinterpretē </w:t>
            </w:r>
            <w:r w:rsidRPr="00FC1F99">
              <w:rPr>
                <w:rFonts w:asciiTheme="majorBidi" w:hAnsiTheme="majorBidi" w:cstheme="majorBidi"/>
                <w:noProof/>
                <w:color w:val="000000" w:themeColor="text1"/>
                <w:sz w:val="24"/>
                <w:szCs w:val="24"/>
              </w:rPr>
              <w:lastRenderedPageBreak/>
              <w:t>saskaņā ar pretflavivīrusu vakcinācijas statusu.</w:t>
            </w:r>
          </w:p>
        </w:tc>
        <w:tc>
          <w:tcPr>
            <w:tcW w:w="0" w:type="auto"/>
          </w:tcPr>
          <w:p w14:paraId="00E6C1AA" w14:textId="77777777"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p>
          <w:p w14:paraId="787296EB" w14:textId="77777777"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Vismaz viena no šādām divām epidemioloģiskām saiknēm:</w:t>
            </w:r>
          </w:p>
          <w:p w14:paraId="5EF06421" w14:textId="743D8DB7" w:rsidR="00FC1F99" w:rsidRPr="00FC1F99" w:rsidRDefault="00FC1F99" w:rsidP="00FC1F99">
            <w:pPr>
              <w:pStyle w:val="Sarakstarindkopa"/>
              <w:widowControl w:val="0"/>
              <w:numPr>
                <w:ilvl w:val="0"/>
                <w:numId w:val="9"/>
              </w:numPr>
              <w:tabs>
                <w:tab w:val="center" w:pos="4320"/>
                <w:tab w:val="right" w:pos="8640"/>
              </w:tabs>
              <w:ind w:left="481"/>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pārnese no dzīvnieka uz cilvēku (uzturēšanās vai došanās uz teritoriju, kur Rietumnīlas drudzis ir endēmiska zirgu vai putnu slimība, vai ir bijusi iespēja tādā teritorijā inficēties no odu kodumiem),</w:t>
            </w:r>
          </w:p>
          <w:p w14:paraId="473E3ECF" w14:textId="389219A2" w:rsidR="00FC1F99" w:rsidRPr="00FC1F99" w:rsidRDefault="00FC1F99" w:rsidP="00FC1F99">
            <w:pPr>
              <w:pStyle w:val="Sarakstarindkopa"/>
              <w:widowControl w:val="0"/>
              <w:numPr>
                <w:ilvl w:val="0"/>
                <w:numId w:val="9"/>
              </w:numPr>
              <w:tabs>
                <w:tab w:val="center" w:pos="4320"/>
                <w:tab w:val="right" w:pos="8640"/>
              </w:tabs>
              <w:ind w:left="481"/>
              <w:rPr>
                <w:rFonts w:asciiTheme="majorBidi" w:hAnsiTheme="majorBidi" w:cstheme="majorBidi"/>
                <w:noProof/>
                <w:color w:val="000000" w:themeColor="text1"/>
                <w:sz w:val="24"/>
                <w:szCs w:val="24"/>
              </w:rPr>
            </w:pPr>
            <w:r w:rsidRPr="00FC1F99">
              <w:rPr>
                <w:rFonts w:asciiTheme="majorBidi" w:hAnsiTheme="majorBidi" w:cstheme="majorBidi"/>
                <w:noProof/>
                <w:color w:val="000000" w:themeColor="text1"/>
                <w:sz w:val="24"/>
                <w:szCs w:val="24"/>
              </w:rPr>
              <w:t>pārnese no cilvēka uz cilvēku (vertikāla pārnese, asins pārliešana, transplanti).</w:t>
            </w:r>
          </w:p>
          <w:p w14:paraId="5F3CC2BF" w14:textId="77777777" w:rsidR="00FC1F99" w:rsidRPr="00FC1F99" w:rsidRDefault="00FC1F99" w:rsidP="00FC1F99">
            <w:pPr>
              <w:widowControl w:val="0"/>
              <w:tabs>
                <w:tab w:val="center" w:pos="4320"/>
                <w:tab w:val="right" w:pos="8640"/>
              </w:tabs>
              <w:contextualSpacing/>
              <w:rPr>
                <w:rFonts w:asciiTheme="majorBidi" w:hAnsiTheme="majorBidi" w:cstheme="majorBidi"/>
                <w:noProof/>
                <w:color w:val="000000" w:themeColor="text1"/>
                <w:sz w:val="24"/>
                <w:szCs w:val="24"/>
              </w:rPr>
            </w:pPr>
          </w:p>
        </w:tc>
      </w:tr>
    </w:tbl>
    <w:p w14:paraId="38787B50" w14:textId="77777777" w:rsidR="009272C8" w:rsidRPr="009272C8" w:rsidRDefault="009272C8" w:rsidP="009272C8">
      <w:pPr>
        <w:widowControl w:val="0"/>
        <w:tabs>
          <w:tab w:val="center" w:pos="4320"/>
          <w:tab w:val="right" w:pos="8640"/>
        </w:tabs>
        <w:spacing w:before="240" w:after="240"/>
        <w:contextualSpacing/>
        <w:jc w:val="both"/>
        <w:rPr>
          <w:b/>
          <w:bCs/>
          <w:strike/>
          <w:noProof/>
          <w:sz w:val="24"/>
          <w:szCs w:val="24"/>
        </w:rPr>
      </w:pPr>
    </w:p>
    <w:p w14:paraId="4B4E3017" w14:textId="77777777" w:rsidR="009272C8" w:rsidRPr="009272C8" w:rsidRDefault="009272C8" w:rsidP="009272C8">
      <w:pPr>
        <w:widowControl w:val="0"/>
        <w:tabs>
          <w:tab w:val="center" w:pos="4320"/>
          <w:tab w:val="right" w:pos="8640"/>
        </w:tabs>
        <w:spacing w:before="240" w:after="240"/>
        <w:ind w:firstLine="720"/>
        <w:contextualSpacing/>
        <w:jc w:val="both"/>
        <w:rPr>
          <w:noProof/>
          <w:color w:val="000000" w:themeColor="text1"/>
          <w:sz w:val="24"/>
          <w:szCs w:val="24"/>
        </w:rPr>
      </w:pPr>
      <w:r w:rsidRPr="009272C8">
        <w:rPr>
          <w:noProof/>
          <w:color w:val="000000" w:themeColor="text1"/>
          <w:sz w:val="24"/>
          <w:szCs w:val="24"/>
        </w:rPr>
        <w:t xml:space="preserve">Smagas klīniskās norises riska faktori ir: vecums, smadzeņu audzēji, paaugstināts asinsspiediens, asins slimības, diabēts, nieru slimības, pārmerīga alkohola lietošana, ģenētiskie faktori. Letalitāte, attīstoties neiroinvazīvā Rietumnīlas drudža slimības formai, sasniedz 17 %. </w:t>
      </w:r>
    </w:p>
    <w:p w14:paraId="1197D17A" w14:textId="77777777" w:rsidR="009272C8" w:rsidRPr="009272C8" w:rsidRDefault="009272C8" w:rsidP="009272C8">
      <w:pPr>
        <w:widowControl w:val="0"/>
        <w:tabs>
          <w:tab w:val="center" w:pos="4320"/>
          <w:tab w:val="right" w:pos="8640"/>
        </w:tabs>
        <w:spacing w:before="240" w:after="240"/>
        <w:ind w:firstLine="720"/>
        <w:contextualSpacing/>
        <w:jc w:val="both"/>
        <w:rPr>
          <w:b/>
          <w:bCs/>
          <w:noProof/>
          <w:color w:val="000000" w:themeColor="text1"/>
          <w:sz w:val="24"/>
          <w:szCs w:val="24"/>
        </w:rPr>
      </w:pPr>
      <w:r w:rsidRPr="009272C8">
        <w:rPr>
          <w:noProof/>
          <w:color w:val="000000" w:themeColor="text1"/>
          <w:sz w:val="24"/>
          <w:szCs w:val="24"/>
        </w:rPr>
        <w:t>Rietumnīlas vīrusa infekcija iespējama gan kā ievests gadījums pēc endēmisko teritoriju (piemēram, Dienvideiropas, Dienvidaustrumeiropas</w:t>
      </w:r>
      <w:r w:rsidRPr="009272C8">
        <w:rPr>
          <w:noProof/>
          <w:color w:val="000000" w:themeColor="text1"/>
          <w:sz w:val="24"/>
          <w:szCs w:val="24"/>
          <w:vertAlign w:val="superscript"/>
        </w:rPr>
        <w:footnoteReference w:id="3"/>
      </w:r>
      <w:r w:rsidRPr="009272C8">
        <w:rPr>
          <w:noProof/>
          <w:color w:val="000000" w:themeColor="text1"/>
          <w:sz w:val="24"/>
          <w:szCs w:val="24"/>
        </w:rPr>
        <w:t xml:space="preserve">, Āfrikas un Tuvo Austrumu valstu) apmeklējuma, gan kā vietējas transmisijas gadījums Latvijā odu aktivitātes sezonas laikā. Līdz ar to </w:t>
      </w:r>
      <w:r w:rsidRPr="009272C8">
        <w:rPr>
          <w:b/>
          <w:bCs/>
          <w:noProof/>
          <w:color w:val="000000" w:themeColor="text1"/>
          <w:sz w:val="24"/>
          <w:szCs w:val="24"/>
        </w:rPr>
        <w:t xml:space="preserve">konstatējot pacientam drudzi vai neiroloģiskus simptomus </w:t>
      </w:r>
      <w:r w:rsidRPr="009272C8">
        <w:rPr>
          <w:noProof/>
          <w:color w:val="000000" w:themeColor="text1"/>
          <w:sz w:val="24"/>
          <w:szCs w:val="24"/>
        </w:rPr>
        <w:t>vasaras–rudens sezonā, Rietumnīlas drudzis būtu jāapsver gan pacientam ar ceļošanas anamnēzi uz endēmiskām teritorijām, gan pacientiem bez ceļošanas, ņemot vērā iespējamu vietēju transmisiju</w:t>
      </w:r>
      <w:r w:rsidRPr="009272C8">
        <w:rPr>
          <w:noProof/>
          <w:color w:val="000000" w:themeColor="text1"/>
          <w:sz w:val="24"/>
          <w:szCs w:val="24"/>
          <w:vertAlign w:val="superscript"/>
        </w:rPr>
        <w:footnoteReference w:id="4"/>
      </w:r>
      <w:r w:rsidRPr="009272C8">
        <w:rPr>
          <w:noProof/>
          <w:color w:val="000000" w:themeColor="text1"/>
          <w:sz w:val="24"/>
          <w:szCs w:val="24"/>
        </w:rPr>
        <w:t>.</w:t>
      </w:r>
    </w:p>
    <w:p w14:paraId="084BF71C" w14:textId="77777777" w:rsidR="009272C8" w:rsidRDefault="009272C8" w:rsidP="009272C8">
      <w:pPr>
        <w:widowControl w:val="0"/>
        <w:tabs>
          <w:tab w:val="center" w:pos="4320"/>
          <w:tab w:val="right" w:pos="8640"/>
        </w:tabs>
        <w:spacing w:before="240" w:after="240"/>
        <w:ind w:firstLine="720"/>
        <w:contextualSpacing/>
        <w:jc w:val="both"/>
        <w:rPr>
          <w:noProof/>
          <w:color w:val="000000" w:themeColor="text1"/>
          <w:sz w:val="24"/>
          <w:szCs w:val="24"/>
        </w:rPr>
      </w:pPr>
      <w:r w:rsidRPr="009272C8">
        <w:rPr>
          <w:noProof/>
          <w:color w:val="000000" w:themeColor="text1"/>
          <w:sz w:val="24"/>
          <w:szCs w:val="24"/>
        </w:rPr>
        <w:t>Rietumnīlas vīrusa infekcijas laboratorisko diagnostiku veic SIA “Rīgas Austrumu klīniskās universitātes slimnīca” Nacionālā mikrobioloģijas references laboratorija (tālr. uzziņam 67014215, 67014775, 29114493).</w:t>
      </w:r>
    </w:p>
    <w:p w14:paraId="716BC0C6" w14:textId="77777777" w:rsidR="000F6A94" w:rsidRDefault="000F6A94" w:rsidP="009272C8">
      <w:pPr>
        <w:widowControl w:val="0"/>
        <w:tabs>
          <w:tab w:val="center" w:pos="4320"/>
          <w:tab w:val="right" w:pos="8640"/>
        </w:tabs>
        <w:spacing w:before="240" w:after="240"/>
        <w:ind w:firstLine="720"/>
        <w:contextualSpacing/>
        <w:jc w:val="both"/>
        <w:rPr>
          <w:noProof/>
          <w:color w:val="000000" w:themeColor="text1"/>
          <w:sz w:val="24"/>
          <w:szCs w:val="24"/>
        </w:rPr>
      </w:pPr>
    </w:p>
    <w:tbl>
      <w:tblPr>
        <w:tblStyle w:val="Reatabula"/>
        <w:tblW w:w="0" w:type="auto"/>
        <w:tblLook w:val="04A0" w:firstRow="1" w:lastRow="0" w:firstColumn="1" w:lastColumn="0" w:noHBand="0" w:noVBand="1"/>
      </w:tblPr>
      <w:tblGrid>
        <w:gridCol w:w="4148"/>
        <w:gridCol w:w="4148"/>
      </w:tblGrid>
      <w:tr w:rsidR="000F6A94" w14:paraId="745E49BD" w14:textId="77777777" w:rsidTr="000F6A94">
        <w:tc>
          <w:tcPr>
            <w:tcW w:w="4148" w:type="dxa"/>
          </w:tcPr>
          <w:p w14:paraId="6F5FA96D" w14:textId="4437B0EB" w:rsidR="000F6A94" w:rsidRPr="000F6A94" w:rsidRDefault="000F6A94" w:rsidP="000F6A94">
            <w:pPr>
              <w:widowControl w:val="0"/>
              <w:tabs>
                <w:tab w:val="center" w:pos="4320"/>
                <w:tab w:val="right" w:pos="8640"/>
              </w:tabs>
              <w:spacing w:before="240" w:after="240"/>
              <w:contextualSpacing/>
              <w:jc w:val="both"/>
              <w:rPr>
                <w:b/>
                <w:bCs/>
                <w:noProof/>
                <w:color w:val="000000" w:themeColor="text1"/>
                <w:sz w:val="24"/>
                <w:szCs w:val="24"/>
              </w:rPr>
            </w:pPr>
            <w:r w:rsidRPr="000F6A94">
              <w:rPr>
                <w:b/>
                <w:bCs/>
                <w:sz w:val="24"/>
                <w:szCs w:val="24"/>
              </w:rPr>
              <w:t>Seroloģiskā diagnostika</w:t>
            </w:r>
          </w:p>
        </w:tc>
        <w:tc>
          <w:tcPr>
            <w:tcW w:w="4148" w:type="dxa"/>
          </w:tcPr>
          <w:p w14:paraId="43F3A06D" w14:textId="278B075B" w:rsidR="000F6A94" w:rsidRPr="000F6A94" w:rsidRDefault="000F6A94" w:rsidP="000F6A94">
            <w:pPr>
              <w:widowControl w:val="0"/>
              <w:tabs>
                <w:tab w:val="center" w:pos="4320"/>
                <w:tab w:val="right" w:pos="8640"/>
              </w:tabs>
              <w:spacing w:before="240" w:after="240"/>
              <w:contextualSpacing/>
              <w:jc w:val="both"/>
              <w:rPr>
                <w:b/>
                <w:bCs/>
                <w:noProof/>
                <w:color w:val="000000" w:themeColor="text1"/>
                <w:sz w:val="24"/>
                <w:szCs w:val="24"/>
              </w:rPr>
            </w:pPr>
            <w:r w:rsidRPr="000F6A94">
              <w:rPr>
                <w:b/>
                <w:bCs/>
                <w:sz w:val="24"/>
                <w:szCs w:val="24"/>
              </w:rPr>
              <w:t>Molekulārā diagnostika</w:t>
            </w:r>
          </w:p>
        </w:tc>
      </w:tr>
      <w:tr w:rsidR="000F6A94" w14:paraId="08C2391F" w14:textId="77777777" w:rsidTr="000F6A94">
        <w:tc>
          <w:tcPr>
            <w:tcW w:w="4148" w:type="dxa"/>
          </w:tcPr>
          <w:p w14:paraId="19DB6220" w14:textId="77777777" w:rsidR="000F6A94" w:rsidRDefault="000F6A94" w:rsidP="000F6A94">
            <w:pPr>
              <w:widowControl w:val="0"/>
              <w:shd w:val="clear" w:color="auto" w:fill="FFFFFF" w:themeFill="background1"/>
              <w:contextualSpacing/>
              <w:jc w:val="both"/>
              <w:rPr>
                <w:i/>
                <w:iCs/>
                <w:noProof/>
                <w:color w:val="000000" w:themeColor="text1"/>
                <w:sz w:val="24"/>
                <w:szCs w:val="24"/>
              </w:rPr>
            </w:pPr>
          </w:p>
          <w:p w14:paraId="2AEB905E" w14:textId="5326FD97" w:rsidR="000F6A94" w:rsidRPr="009272C8" w:rsidRDefault="000F6A94" w:rsidP="000F6A94">
            <w:pPr>
              <w:widowControl w:val="0"/>
              <w:shd w:val="clear" w:color="auto" w:fill="FFFFFF" w:themeFill="background1"/>
              <w:contextualSpacing/>
              <w:jc w:val="both"/>
              <w:rPr>
                <w:i/>
                <w:iCs/>
                <w:noProof/>
                <w:color w:val="000000" w:themeColor="text1"/>
                <w:sz w:val="24"/>
                <w:szCs w:val="24"/>
              </w:rPr>
            </w:pPr>
            <w:r w:rsidRPr="009272C8">
              <w:rPr>
                <w:i/>
                <w:iCs/>
                <w:noProof/>
                <w:color w:val="000000" w:themeColor="text1"/>
                <w:sz w:val="24"/>
                <w:szCs w:val="24"/>
              </w:rPr>
              <w:t xml:space="preserve">IgM klases antivielu noteikšana (NVD manipulācijas kods </w:t>
            </w:r>
            <w:r w:rsidRPr="009272C8">
              <w:rPr>
                <w:b/>
                <w:bCs/>
                <w:color w:val="242424"/>
                <w:sz w:val="24"/>
                <w:szCs w:val="24"/>
              </w:rPr>
              <w:t xml:space="preserve">47307R – </w:t>
            </w:r>
            <w:proofErr w:type="spellStart"/>
            <w:r w:rsidRPr="009272C8">
              <w:rPr>
                <w:b/>
                <w:bCs/>
                <w:color w:val="242424"/>
                <w:sz w:val="24"/>
                <w:szCs w:val="24"/>
              </w:rPr>
              <w:t>IgM</w:t>
            </w:r>
            <w:proofErr w:type="spellEnd"/>
            <w:r w:rsidRPr="009272C8">
              <w:rPr>
                <w:color w:val="242424"/>
                <w:sz w:val="24"/>
                <w:szCs w:val="24"/>
              </w:rPr>
              <w:t>)</w:t>
            </w:r>
          </w:p>
          <w:p w14:paraId="2A0E2850" w14:textId="77777777" w:rsidR="000F6A94" w:rsidRPr="009272C8" w:rsidRDefault="000F6A94" w:rsidP="000F6A94">
            <w:pPr>
              <w:widowControl w:val="0"/>
              <w:shd w:val="clear" w:color="auto" w:fill="FFFFFF" w:themeFill="background1"/>
              <w:contextualSpacing/>
              <w:jc w:val="both"/>
              <w:rPr>
                <w:color w:val="242424"/>
                <w:sz w:val="24"/>
                <w:szCs w:val="24"/>
              </w:rPr>
            </w:pPr>
          </w:p>
          <w:p w14:paraId="7C2D4772" w14:textId="77777777" w:rsidR="000F6A94" w:rsidRPr="009272C8" w:rsidRDefault="000F6A94" w:rsidP="000F6A94">
            <w:pPr>
              <w:widowControl w:val="0"/>
              <w:spacing w:before="240" w:after="240"/>
              <w:contextualSpacing/>
              <w:jc w:val="both"/>
              <w:rPr>
                <w:i/>
                <w:iCs/>
                <w:noProof/>
                <w:color w:val="000000" w:themeColor="text1"/>
                <w:sz w:val="24"/>
                <w:szCs w:val="24"/>
              </w:rPr>
            </w:pPr>
            <w:r w:rsidRPr="009272C8">
              <w:rPr>
                <w:noProof/>
                <w:color w:val="000000" w:themeColor="text1"/>
                <w:sz w:val="24"/>
                <w:szCs w:val="24"/>
              </w:rPr>
              <w:t xml:space="preserve">IgM klases antivielas var noteikt ar imūnfermentatīvo testu (ELISA – </w:t>
            </w:r>
            <w:r w:rsidRPr="009272C8">
              <w:rPr>
                <w:i/>
                <w:iCs/>
                <w:noProof/>
                <w:color w:val="000000" w:themeColor="text1"/>
                <w:sz w:val="24"/>
                <w:szCs w:val="24"/>
              </w:rPr>
              <w:t>enzyme-linked immunosorbent assay</w:t>
            </w:r>
            <w:r w:rsidRPr="009272C8">
              <w:rPr>
                <w:noProof/>
                <w:color w:val="000000" w:themeColor="text1"/>
                <w:sz w:val="24"/>
                <w:szCs w:val="24"/>
              </w:rPr>
              <w:t>). IgM antivielas parasti ir nosakāmas no 3 līdz 8 dienām pēc simptomu paradīšanas un var saglabāties no 30 līdz 90 dienām, taču ir dokumentēta ilgāka noturība. Tāpēc pozitīvas IgM antivielas dažkārt var atspoguļot pārslimotu infekciju. Ja serums tiek savākts 8 dienu laikā pēc slimības sākuma un IgM rezultāts ir negatīvs, tas neizslēdz Rietumnīlas drudža infekcijas diagnozi, un tests ir jāatkārto.</w:t>
            </w:r>
            <w:r w:rsidRPr="009272C8">
              <w:rPr>
                <w:i/>
                <w:iCs/>
                <w:noProof/>
                <w:color w:val="000000" w:themeColor="text1"/>
                <w:sz w:val="24"/>
                <w:szCs w:val="24"/>
              </w:rPr>
              <w:t xml:space="preserve"> </w:t>
            </w:r>
          </w:p>
          <w:p w14:paraId="701ADE11" w14:textId="77777777" w:rsidR="000F6A94" w:rsidRPr="009272C8" w:rsidRDefault="000F6A94" w:rsidP="000F6A94">
            <w:pPr>
              <w:widowControl w:val="0"/>
              <w:spacing w:before="240" w:after="240"/>
              <w:contextualSpacing/>
              <w:jc w:val="both"/>
              <w:rPr>
                <w:i/>
                <w:iCs/>
                <w:noProof/>
                <w:color w:val="000000" w:themeColor="text1"/>
                <w:sz w:val="24"/>
                <w:szCs w:val="24"/>
              </w:rPr>
            </w:pPr>
          </w:p>
          <w:p w14:paraId="51C6238B" w14:textId="77777777" w:rsidR="000F6A94" w:rsidRPr="009272C8" w:rsidRDefault="000F6A94" w:rsidP="000F6A94">
            <w:pPr>
              <w:widowControl w:val="0"/>
              <w:shd w:val="clear" w:color="auto" w:fill="FFFFFF" w:themeFill="background1"/>
              <w:contextualSpacing/>
              <w:jc w:val="both"/>
              <w:rPr>
                <w:i/>
                <w:iCs/>
                <w:color w:val="000000" w:themeColor="text1"/>
                <w:sz w:val="24"/>
                <w:szCs w:val="24"/>
              </w:rPr>
            </w:pPr>
            <w:r w:rsidRPr="009272C8">
              <w:rPr>
                <w:i/>
                <w:iCs/>
                <w:noProof/>
                <w:color w:val="000000" w:themeColor="text1"/>
                <w:sz w:val="24"/>
                <w:szCs w:val="24"/>
              </w:rPr>
              <w:t>IgG klases antivielu noteikšana</w:t>
            </w:r>
            <w:r w:rsidRPr="009272C8">
              <w:rPr>
                <w:noProof/>
                <w:color w:val="000000" w:themeColor="text1"/>
                <w:sz w:val="24"/>
                <w:szCs w:val="24"/>
              </w:rPr>
              <w:t xml:space="preserve"> (</w:t>
            </w:r>
            <w:r w:rsidRPr="009272C8">
              <w:rPr>
                <w:i/>
                <w:iCs/>
                <w:noProof/>
                <w:color w:val="000000" w:themeColor="text1"/>
                <w:sz w:val="24"/>
                <w:szCs w:val="24"/>
              </w:rPr>
              <w:t xml:space="preserve">NVD manipulācijas kods </w:t>
            </w:r>
            <w:r w:rsidRPr="009272C8">
              <w:rPr>
                <w:b/>
                <w:bCs/>
                <w:i/>
                <w:iCs/>
                <w:color w:val="242424"/>
                <w:sz w:val="24"/>
                <w:szCs w:val="24"/>
              </w:rPr>
              <w:t xml:space="preserve">47306R – </w:t>
            </w:r>
            <w:proofErr w:type="spellStart"/>
            <w:r w:rsidRPr="009272C8">
              <w:rPr>
                <w:b/>
                <w:bCs/>
                <w:i/>
                <w:iCs/>
                <w:color w:val="242424"/>
                <w:sz w:val="24"/>
                <w:szCs w:val="24"/>
              </w:rPr>
              <w:t>IgG</w:t>
            </w:r>
            <w:proofErr w:type="spellEnd"/>
            <w:r w:rsidRPr="009272C8">
              <w:rPr>
                <w:i/>
                <w:iCs/>
                <w:color w:val="242424"/>
                <w:sz w:val="24"/>
                <w:szCs w:val="24"/>
              </w:rPr>
              <w:t>)</w:t>
            </w:r>
          </w:p>
          <w:p w14:paraId="394E5E98" w14:textId="77777777" w:rsidR="000F6A94" w:rsidRPr="009272C8" w:rsidRDefault="000F6A94" w:rsidP="000F6A94">
            <w:pPr>
              <w:widowControl w:val="0"/>
              <w:shd w:val="clear" w:color="auto" w:fill="FFFFFF" w:themeFill="background1"/>
              <w:contextualSpacing/>
              <w:jc w:val="both"/>
              <w:rPr>
                <w:i/>
                <w:iCs/>
                <w:color w:val="242424"/>
                <w:sz w:val="24"/>
                <w:szCs w:val="24"/>
              </w:rPr>
            </w:pPr>
          </w:p>
          <w:p w14:paraId="5CDE0C26" w14:textId="77777777" w:rsidR="000F6A94" w:rsidRDefault="000F6A94" w:rsidP="000F6A94">
            <w:pPr>
              <w:widowControl w:val="0"/>
              <w:tabs>
                <w:tab w:val="center" w:pos="4320"/>
                <w:tab w:val="right" w:pos="8640"/>
              </w:tabs>
              <w:spacing w:before="240" w:after="240"/>
              <w:contextualSpacing/>
              <w:jc w:val="both"/>
              <w:rPr>
                <w:noProof/>
                <w:color w:val="000000" w:themeColor="text1"/>
                <w:sz w:val="24"/>
                <w:szCs w:val="24"/>
              </w:rPr>
            </w:pPr>
            <w:r w:rsidRPr="009272C8">
              <w:rPr>
                <w:noProof/>
                <w:color w:val="000000" w:themeColor="text1"/>
                <w:sz w:val="24"/>
                <w:szCs w:val="24"/>
              </w:rPr>
              <w:t xml:space="preserve">IgG klases antivielas var noteikt ar imūnfermentatīvo testu (ELISA – </w:t>
            </w:r>
            <w:r w:rsidRPr="009272C8">
              <w:rPr>
                <w:i/>
                <w:iCs/>
                <w:noProof/>
                <w:color w:val="000000" w:themeColor="text1"/>
                <w:sz w:val="24"/>
                <w:szCs w:val="24"/>
              </w:rPr>
              <w:t>enzyme-linked immunosorbent assay</w:t>
            </w:r>
            <w:r w:rsidRPr="009272C8">
              <w:rPr>
                <w:noProof/>
                <w:color w:val="000000" w:themeColor="text1"/>
                <w:sz w:val="24"/>
                <w:szCs w:val="24"/>
              </w:rPr>
              <w:t xml:space="preserve">). </w:t>
            </w:r>
            <w:r w:rsidRPr="009272C8">
              <w:rPr>
                <w:noProof/>
                <w:color w:val="000000" w:themeColor="text1"/>
                <w:sz w:val="24"/>
                <w:szCs w:val="24"/>
              </w:rPr>
              <w:lastRenderedPageBreak/>
              <w:t>Laboratoriski apstiprinātam Rietumnīlas drudža gadījumam, pārejot no akūtas stadijas uz atveseļošanos, ir raksturīga specifiska serokonversija vai četrkārtīgs IgG titra pieaugums. Seroloģiskajiem testiem Rietumnīlas drudža vīrusu noteikšanai ir iespējamas krusteniskās reakcijas ar antivielām pret citiem flavivīrusiem (ieskaitot vakcīnu antigēnus), t.sk. ērču encefalītu, dzelteno drudzi un denges drudzi.</w:t>
            </w:r>
          </w:p>
          <w:p w14:paraId="603FD730" w14:textId="0E8FB18F" w:rsidR="000F6A94" w:rsidRDefault="000F6A94" w:rsidP="000F6A94">
            <w:pPr>
              <w:widowControl w:val="0"/>
              <w:tabs>
                <w:tab w:val="center" w:pos="4320"/>
                <w:tab w:val="right" w:pos="8640"/>
              </w:tabs>
              <w:spacing w:before="240" w:after="240"/>
              <w:contextualSpacing/>
              <w:jc w:val="both"/>
              <w:rPr>
                <w:noProof/>
                <w:color w:val="000000" w:themeColor="text1"/>
                <w:sz w:val="24"/>
                <w:szCs w:val="24"/>
              </w:rPr>
            </w:pPr>
          </w:p>
        </w:tc>
        <w:tc>
          <w:tcPr>
            <w:tcW w:w="4148" w:type="dxa"/>
          </w:tcPr>
          <w:p w14:paraId="34A75C2D" w14:textId="77777777" w:rsidR="000F6A94" w:rsidRDefault="000F6A94" w:rsidP="000F6A94">
            <w:pPr>
              <w:widowControl w:val="0"/>
              <w:ind w:right="288"/>
              <w:contextualSpacing/>
              <w:jc w:val="both"/>
              <w:rPr>
                <w:i/>
                <w:iCs/>
                <w:sz w:val="24"/>
                <w:szCs w:val="24"/>
              </w:rPr>
            </w:pPr>
          </w:p>
          <w:p w14:paraId="4AA98DAE" w14:textId="14DE7125" w:rsidR="000F6A94" w:rsidRPr="009272C8" w:rsidRDefault="000F6A94" w:rsidP="000F6A94">
            <w:pPr>
              <w:widowControl w:val="0"/>
              <w:ind w:right="288"/>
              <w:contextualSpacing/>
              <w:jc w:val="both"/>
              <w:rPr>
                <w:i/>
                <w:iCs/>
                <w:sz w:val="24"/>
                <w:szCs w:val="24"/>
              </w:rPr>
            </w:pPr>
            <w:r w:rsidRPr="009272C8">
              <w:rPr>
                <w:i/>
                <w:iCs/>
                <w:sz w:val="24"/>
                <w:szCs w:val="24"/>
              </w:rPr>
              <w:t xml:space="preserve">RNS noteikšana ar </w:t>
            </w:r>
            <w:proofErr w:type="spellStart"/>
            <w:r w:rsidRPr="009272C8">
              <w:rPr>
                <w:i/>
                <w:iCs/>
                <w:sz w:val="24"/>
                <w:szCs w:val="24"/>
              </w:rPr>
              <w:t>polimerāzes</w:t>
            </w:r>
            <w:proofErr w:type="spellEnd"/>
            <w:r w:rsidRPr="009272C8">
              <w:rPr>
                <w:i/>
                <w:iCs/>
                <w:sz w:val="24"/>
                <w:szCs w:val="24"/>
              </w:rPr>
              <w:t xml:space="preserve"> ķēdes reakciju (PĶR) (NVD manipulācijas kods </w:t>
            </w:r>
            <w:r w:rsidRPr="009272C8">
              <w:rPr>
                <w:b/>
                <w:bCs/>
                <w:i/>
                <w:iCs/>
                <w:sz w:val="24"/>
                <w:szCs w:val="24"/>
              </w:rPr>
              <w:t>47241R –RNS)</w:t>
            </w:r>
          </w:p>
          <w:p w14:paraId="65AD23F3" w14:textId="77777777" w:rsidR="000F6A94" w:rsidRPr="009272C8" w:rsidRDefault="000F6A94" w:rsidP="000F6A94">
            <w:pPr>
              <w:widowControl w:val="0"/>
              <w:shd w:val="clear" w:color="auto" w:fill="FFFFFF" w:themeFill="background1"/>
              <w:contextualSpacing/>
              <w:jc w:val="both"/>
              <w:rPr>
                <w:rFonts w:eastAsia="Times"/>
                <w:sz w:val="24"/>
                <w:szCs w:val="24"/>
              </w:rPr>
            </w:pPr>
          </w:p>
          <w:p w14:paraId="3E491604" w14:textId="77777777" w:rsidR="000F6A94" w:rsidRPr="009272C8" w:rsidRDefault="000F6A94" w:rsidP="000F6A94">
            <w:pPr>
              <w:widowControl w:val="0"/>
              <w:shd w:val="clear" w:color="auto" w:fill="FFFFFF" w:themeFill="background1"/>
              <w:contextualSpacing/>
              <w:jc w:val="both"/>
              <w:rPr>
                <w:rFonts w:eastAsia="Times"/>
                <w:sz w:val="24"/>
                <w:szCs w:val="24"/>
              </w:rPr>
            </w:pPr>
            <w:proofErr w:type="spellStart"/>
            <w:r w:rsidRPr="009272C8">
              <w:rPr>
                <w:rFonts w:eastAsia="Times"/>
                <w:sz w:val="24"/>
                <w:szCs w:val="24"/>
              </w:rPr>
              <w:t>Rietumnīlas</w:t>
            </w:r>
            <w:proofErr w:type="spellEnd"/>
            <w:r w:rsidRPr="009272C8">
              <w:rPr>
                <w:rFonts w:eastAsia="Times"/>
                <w:sz w:val="24"/>
                <w:szCs w:val="24"/>
              </w:rPr>
              <w:t xml:space="preserve"> vīrusu iespējams apstiprināt ar tiešu vīrusa noteikšanu, izmantojot vīrusa genoma </w:t>
            </w:r>
            <w:proofErr w:type="spellStart"/>
            <w:r w:rsidRPr="009272C8">
              <w:rPr>
                <w:rFonts w:eastAsia="Times"/>
                <w:sz w:val="24"/>
                <w:szCs w:val="24"/>
              </w:rPr>
              <w:t>detekciju</w:t>
            </w:r>
            <w:proofErr w:type="spellEnd"/>
            <w:r w:rsidRPr="009272C8">
              <w:rPr>
                <w:rFonts w:eastAsia="Times"/>
                <w:sz w:val="24"/>
                <w:szCs w:val="24"/>
              </w:rPr>
              <w:t xml:space="preserve"> vai vīrusa izolēšanu. Vīrusa genoms parasti ir nosakāms plazmā 2–18 dienas pēc inficēšanās un līdz piecām dienām pēc simptomu sākuma, lai gan aprakstīta arī ilgstoša </w:t>
            </w:r>
            <w:proofErr w:type="spellStart"/>
            <w:r w:rsidRPr="009272C8">
              <w:rPr>
                <w:rFonts w:eastAsia="Times"/>
                <w:sz w:val="24"/>
                <w:szCs w:val="24"/>
              </w:rPr>
              <w:t>virēmija</w:t>
            </w:r>
            <w:proofErr w:type="spellEnd"/>
            <w:r w:rsidRPr="009272C8">
              <w:rPr>
                <w:rFonts w:eastAsia="Times"/>
                <w:sz w:val="24"/>
                <w:szCs w:val="24"/>
              </w:rPr>
              <w:t xml:space="preserve"> līdz pat 35 dienām pēc simptomu parādīšanās. Pētījumi liecina, ka vispiemērotākais parauga veids ir pilnas asinis, kur jutība sasniedz 86,8%, savukārt zemāka jutība novērota urīna, plazmas, seruma un </w:t>
            </w:r>
            <w:proofErr w:type="spellStart"/>
            <w:r w:rsidRPr="009272C8">
              <w:rPr>
                <w:rFonts w:eastAsia="Times"/>
                <w:sz w:val="24"/>
                <w:szCs w:val="24"/>
              </w:rPr>
              <w:t>cerebrospinālā</w:t>
            </w:r>
            <w:proofErr w:type="spellEnd"/>
            <w:r w:rsidRPr="009272C8">
              <w:rPr>
                <w:rFonts w:eastAsia="Times"/>
                <w:sz w:val="24"/>
                <w:szCs w:val="24"/>
              </w:rPr>
              <w:t xml:space="preserve"> šķidruma paraugos. Testu jutības prasības var atšķirties atkarībā no pielietojuma, piemēram, asins donoru </w:t>
            </w:r>
            <w:proofErr w:type="spellStart"/>
            <w:r w:rsidRPr="009272C8">
              <w:rPr>
                <w:rFonts w:eastAsia="Times"/>
                <w:sz w:val="24"/>
                <w:szCs w:val="24"/>
              </w:rPr>
              <w:t>skrīningā</w:t>
            </w:r>
            <w:proofErr w:type="spellEnd"/>
            <w:r w:rsidRPr="009272C8">
              <w:rPr>
                <w:rFonts w:eastAsia="Times"/>
                <w:sz w:val="24"/>
                <w:szCs w:val="24"/>
              </w:rPr>
              <w:t xml:space="preserve"> vai klīnisku gadījumu diagnostikā.</w:t>
            </w:r>
          </w:p>
          <w:p w14:paraId="0C2F2C46" w14:textId="77777777" w:rsidR="000F6A94" w:rsidRDefault="000F6A94" w:rsidP="009272C8">
            <w:pPr>
              <w:widowControl w:val="0"/>
              <w:tabs>
                <w:tab w:val="center" w:pos="4320"/>
                <w:tab w:val="right" w:pos="8640"/>
              </w:tabs>
              <w:spacing w:before="240" w:after="240"/>
              <w:contextualSpacing/>
              <w:jc w:val="both"/>
              <w:rPr>
                <w:noProof/>
                <w:color w:val="000000" w:themeColor="text1"/>
                <w:sz w:val="24"/>
                <w:szCs w:val="24"/>
              </w:rPr>
            </w:pPr>
          </w:p>
        </w:tc>
      </w:tr>
      <w:tr w:rsidR="000F6A94" w14:paraId="31DC6D2F" w14:textId="77777777" w:rsidTr="000F6A94">
        <w:tc>
          <w:tcPr>
            <w:tcW w:w="4148" w:type="dxa"/>
          </w:tcPr>
          <w:p w14:paraId="01886351" w14:textId="0D5FF18F" w:rsidR="000F6A94" w:rsidRPr="009272C8" w:rsidRDefault="000F6A94" w:rsidP="000F6A94">
            <w:pPr>
              <w:widowControl w:val="0"/>
              <w:spacing w:before="240" w:after="240"/>
              <w:contextualSpacing/>
              <w:jc w:val="both"/>
              <w:rPr>
                <w:i/>
                <w:iCs/>
                <w:noProof/>
                <w:color w:val="000000" w:themeColor="text1"/>
                <w:sz w:val="24"/>
                <w:szCs w:val="24"/>
              </w:rPr>
            </w:pPr>
            <w:r w:rsidRPr="009272C8">
              <w:rPr>
                <w:i/>
                <w:iCs/>
                <w:noProof/>
                <w:color w:val="000000" w:themeColor="text1"/>
                <w:sz w:val="24"/>
                <w:szCs w:val="24"/>
              </w:rPr>
              <w:t>Klīniskais materiāls testēšanai</w:t>
            </w:r>
          </w:p>
          <w:p w14:paraId="6856BED7" w14:textId="77777777" w:rsidR="000F6A94" w:rsidRPr="009272C8" w:rsidRDefault="000F6A94" w:rsidP="000F6A94">
            <w:pPr>
              <w:widowControl w:val="0"/>
              <w:spacing w:before="240" w:after="240"/>
              <w:contextualSpacing/>
              <w:jc w:val="both"/>
              <w:rPr>
                <w:i/>
                <w:iCs/>
                <w:noProof/>
                <w:color w:val="000000" w:themeColor="text1"/>
                <w:sz w:val="24"/>
                <w:szCs w:val="24"/>
              </w:rPr>
            </w:pPr>
          </w:p>
          <w:p w14:paraId="62E42295" w14:textId="77777777" w:rsidR="000F6A94" w:rsidRPr="009272C8" w:rsidRDefault="000F6A94" w:rsidP="000F6A94">
            <w:pPr>
              <w:widowControl w:val="0"/>
              <w:spacing w:before="240" w:after="240"/>
              <w:contextualSpacing/>
              <w:jc w:val="both"/>
              <w:rPr>
                <w:noProof/>
                <w:color w:val="000000" w:themeColor="text1"/>
                <w:sz w:val="24"/>
                <w:szCs w:val="24"/>
              </w:rPr>
            </w:pPr>
            <w:r w:rsidRPr="009272C8">
              <w:rPr>
                <w:noProof/>
                <w:color w:val="000000" w:themeColor="text1"/>
                <w:sz w:val="24"/>
                <w:szCs w:val="24"/>
                <w:u w:val="single"/>
              </w:rPr>
              <w:t>Asinis</w:t>
            </w:r>
            <w:r w:rsidRPr="009272C8">
              <w:rPr>
                <w:noProof/>
                <w:color w:val="000000" w:themeColor="text1"/>
                <w:sz w:val="24"/>
                <w:szCs w:val="24"/>
              </w:rPr>
              <w:t>: stobriņš bez antikoagulanta. Pieaugušajiem 3,5–7,5 ml, bērniem 1,2–3,5 ml. Uzglabāt un transportēt temperatūrā +18°– 25°C ne ilgāk par 12 h vai +2° līdz +8°C ne ilgāk par 48 h.</w:t>
            </w:r>
          </w:p>
          <w:p w14:paraId="1E161CE0" w14:textId="77777777" w:rsidR="000F6A94" w:rsidRDefault="000F6A94" w:rsidP="009272C8">
            <w:pPr>
              <w:widowControl w:val="0"/>
              <w:tabs>
                <w:tab w:val="center" w:pos="4320"/>
                <w:tab w:val="right" w:pos="8640"/>
              </w:tabs>
              <w:spacing w:before="240" w:after="240"/>
              <w:contextualSpacing/>
              <w:jc w:val="both"/>
              <w:rPr>
                <w:noProof/>
                <w:color w:val="000000" w:themeColor="text1"/>
                <w:sz w:val="24"/>
                <w:szCs w:val="24"/>
              </w:rPr>
            </w:pPr>
          </w:p>
        </w:tc>
        <w:tc>
          <w:tcPr>
            <w:tcW w:w="4148" w:type="dxa"/>
          </w:tcPr>
          <w:p w14:paraId="478643B6" w14:textId="2D930749" w:rsidR="000F6A94" w:rsidRPr="009272C8" w:rsidRDefault="000F6A94" w:rsidP="000F6A94">
            <w:pPr>
              <w:widowControl w:val="0"/>
              <w:spacing w:before="240" w:after="240"/>
              <w:contextualSpacing/>
              <w:jc w:val="both"/>
              <w:rPr>
                <w:i/>
                <w:iCs/>
                <w:noProof/>
                <w:color w:val="000000" w:themeColor="text1"/>
                <w:sz w:val="24"/>
                <w:szCs w:val="24"/>
              </w:rPr>
            </w:pPr>
            <w:r w:rsidRPr="009272C8">
              <w:rPr>
                <w:i/>
                <w:iCs/>
                <w:noProof/>
                <w:color w:val="000000" w:themeColor="text1"/>
                <w:sz w:val="24"/>
                <w:szCs w:val="24"/>
              </w:rPr>
              <w:t>Klīniskais materiāls testēšanai</w:t>
            </w:r>
          </w:p>
          <w:p w14:paraId="04E08100" w14:textId="77777777" w:rsidR="000F6A94" w:rsidRPr="009272C8" w:rsidRDefault="000F6A94" w:rsidP="000F6A94">
            <w:pPr>
              <w:widowControl w:val="0"/>
              <w:spacing w:before="240" w:after="240"/>
              <w:contextualSpacing/>
              <w:jc w:val="both"/>
              <w:rPr>
                <w:i/>
                <w:iCs/>
                <w:noProof/>
                <w:color w:val="000000" w:themeColor="text1"/>
                <w:sz w:val="24"/>
                <w:szCs w:val="24"/>
              </w:rPr>
            </w:pPr>
          </w:p>
          <w:p w14:paraId="0F578DD9" w14:textId="2CE98457" w:rsidR="00694C0C" w:rsidRPr="009272C8" w:rsidRDefault="000F6A94" w:rsidP="00694C0C">
            <w:pPr>
              <w:widowControl w:val="0"/>
              <w:spacing w:before="240" w:after="240"/>
              <w:contextualSpacing/>
              <w:jc w:val="both"/>
              <w:rPr>
                <w:noProof/>
                <w:color w:val="000000" w:themeColor="text1"/>
                <w:sz w:val="24"/>
                <w:szCs w:val="24"/>
              </w:rPr>
            </w:pPr>
            <w:r w:rsidRPr="009272C8">
              <w:rPr>
                <w:noProof/>
                <w:color w:val="000000" w:themeColor="text1"/>
                <w:sz w:val="24"/>
                <w:szCs w:val="24"/>
                <w:u w:val="single"/>
              </w:rPr>
              <w:t>Asinis</w:t>
            </w:r>
            <w:r w:rsidRPr="009272C8">
              <w:rPr>
                <w:noProof/>
                <w:color w:val="000000" w:themeColor="text1"/>
                <w:sz w:val="24"/>
                <w:szCs w:val="24"/>
              </w:rPr>
              <w:t>: stobriņš ar EDTA, pieaugušajiem 3,5–7,5 ml, bērniem 1,2 - 3,5 ml. Uzglabāt un transportēt temperatūrā +18°–+25°C ne ilgāk par 12 h vai +2° līdz +8°C ne ilgāk par 48 h.</w:t>
            </w:r>
          </w:p>
          <w:p w14:paraId="515E8335" w14:textId="248B4197" w:rsidR="000F6A94" w:rsidRDefault="000F6A94" w:rsidP="000F6A94">
            <w:pPr>
              <w:widowControl w:val="0"/>
              <w:tabs>
                <w:tab w:val="center" w:pos="4320"/>
                <w:tab w:val="right" w:pos="8640"/>
              </w:tabs>
              <w:spacing w:before="240" w:after="240"/>
              <w:contextualSpacing/>
              <w:jc w:val="both"/>
              <w:rPr>
                <w:noProof/>
                <w:color w:val="000000" w:themeColor="text1"/>
                <w:sz w:val="24"/>
                <w:szCs w:val="24"/>
              </w:rPr>
            </w:pPr>
            <w:r w:rsidRPr="009272C8">
              <w:rPr>
                <w:noProof/>
                <w:color w:val="000000" w:themeColor="text1"/>
                <w:sz w:val="24"/>
                <w:szCs w:val="24"/>
                <w:u w:val="single"/>
              </w:rPr>
              <w:t>Likvors</w:t>
            </w:r>
            <w:r w:rsidRPr="009272C8">
              <w:rPr>
                <w:noProof/>
                <w:color w:val="000000" w:themeColor="text1"/>
                <w:sz w:val="24"/>
                <w:szCs w:val="24"/>
              </w:rPr>
              <w:t>: vienreizējā sterilā stobrā, pieaugušajiem 0,5–2ml, bērniem 0,25–1 ml. Uzglabāt un transportēt materiālu temperatūrā +2° līdz +8°C. Nogādāt laboratorijā 24 h laikā.</w:t>
            </w:r>
          </w:p>
        </w:tc>
      </w:tr>
    </w:tbl>
    <w:p w14:paraId="7D64F95B" w14:textId="77777777" w:rsidR="009272C8" w:rsidRPr="009272C8" w:rsidRDefault="009272C8" w:rsidP="009272C8">
      <w:pPr>
        <w:widowControl w:val="0"/>
        <w:contextualSpacing/>
        <w:jc w:val="both"/>
        <w:rPr>
          <w:noProof/>
          <w:color w:val="000000" w:themeColor="text1"/>
          <w:sz w:val="24"/>
          <w:szCs w:val="24"/>
          <w:lang w:val="lv"/>
        </w:rPr>
      </w:pPr>
    </w:p>
    <w:p w14:paraId="25BF20A8" w14:textId="0E12C443" w:rsidR="009272C8" w:rsidRPr="009272C8" w:rsidRDefault="009272C8" w:rsidP="009272C8">
      <w:pPr>
        <w:widowControl w:val="0"/>
        <w:ind w:firstLine="720"/>
        <w:contextualSpacing/>
        <w:jc w:val="both"/>
        <w:rPr>
          <w:noProof/>
          <w:sz w:val="24"/>
          <w:szCs w:val="24"/>
        </w:rPr>
      </w:pPr>
      <w:r w:rsidRPr="009272C8">
        <w:rPr>
          <w:noProof/>
          <w:color w:val="000000" w:themeColor="text1"/>
          <w:sz w:val="24"/>
          <w:szCs w:val="24"/>
          <w:lang w:val="lv"/>
        </w:rPr>
        <w:t>Ja pacientam tiek konstatēts Rietumnīlas drudzis vai rodas profesionāli pamatotas aizdomas par pacienta inficēšanos ar Rietumnīlas vīrusu, ārstniecības personas pienākums ir par to ziņot Centram pēc iespējas ātrāk, bet ne vēlāk kā vienas darba dienas laikā, informējot Centru telefoniski un rakstiski, nosūtot aizpildītu steidzamā paziņojuma veidlapu. Sīkāka informācija par infekcijas slimību reģistrācijas kārtību pieejama Centra</w:t>
      </w:r>
      <w:r w:rsidRPr="009272C8">
        <w:rPr>
          <w:noProof/>
          <w:color w:val="000000" w:themeColor="text1"/>
          <w:sz w:val="24"/>
          <w:szCs w:val="24"/>
        </w:rPr>
        <w:t xml:space="preserve"> tīmekļvietnē</w:t>
      </w:r>
      <w:r w:rsidRPr="009272C8">
        <w:rPr>
          <w:noProof/>
          <w:color w:val="000000" w:themeColor="text1"/>
          <w:sz w:val="24"/>
          <w:szCs w:val="24"/>
          <w:vertAlign w:val="superscript"/>
        </w:rPr>
        <w:footnoteReference w:id="5"/>
      </w:r>
      <w:r w:rsidRPr="009272C8">
        <w:rPr>
          <w:noProof/>
          <w:color w:val="000000" w:themeColor="text1"/>
          <w:sz w:val="24"/>
          <w:szCs w:val="24"/>
        </w:rPr>
        <w:t>. Papildus i</w:t>
      </w:r>
      <w:r w:rsidRPr="009272C8">
        <w:rPr>
          <w:noProof/>
          <w:sz w:val="24"/>
          <w:szCs w:val="24"/>
        </w:rPr>
        <w:t>nformāciju par infekcijas slimību reģistrācijas kārtību varat saņemt zvanot: 67271738.</w:t>
      </w:r>
    </w:p>
    <w:p w14:paraId="3054859A" w14:textId="77777777" w:rsidR="009272C8" w:rsidRPr="009272C8" w:rsidRDefault="009272C8" w:rsidP="009272C8">
      <w:pPr>
        <w:widowControl w:val="0"/>
        <w:tabs>
          <w:tab w:val="center" w:pos="4320"/>
          <w:tab w:val="right" w:pos="8640"/>
        </w:tabs>
        <w:ind w:firstLine="720"/>
        <w:contextualSpacing/>
        <w:jc w:val="both"/>
        <w:rPr>
          <w:b/>
          <w:bCs/>
          <w:noProof/>
          <w:color w:val="000000" w:themeColor="text1"/>
          <w:sz w:val="24"/>
          <w:szCs w:val="24"/>
        </w:rPr>
      </w:pPr>
      <w:r w:rsidRPr="009272C8">
        <w:rPr>
          <w:noProof/>
          <w:color w:val="000000" w:themeColor="text1"/>
          <w:sz w:val="24"/>
          <w:szCs w:val="24"/>
        </w:rPr>
        <w:t>Aktuālākajai informācijai par Rietumnīlas drudža saslimšanas gadījumiem Eiropas Savienības valstīs var sekot attiecīgajā Eiropas Slimību profilakses un kontroles centra tīmekļa vietnē (t. sk. kartē)</w:t>
      </w:r>
      <w:r w:rsidRPr="009272C8">
        <w:rPr>
          <w:noProof/>
          <w:color w:val="000000" w:themeColor="text1"/>
          <w:sz w:val="24"/>
          <w:szCs w:val="24"/>
          <w:vertAlign w:val="superscript"/>
        </w:rPr>
        <w:footnoteReference w:id="6"/>
      </w:r>
      <w:r w:rsidRPr="009272C8">
        <w:rPr>
          <w:noProof/>
          <w:color w:val="000000" w:themeColor="text1"/>
          <w:sz w:val="24"/>
          <w:szCs w:val="24"/>
        </w:rPr>
        <w:t xml:space="preserve">. </w:t>
      </w:r>
    </w:p>
    <w:p w14:paraId="3596441B" w14:textId="77777777" w:rsidR="009272C8" w:rsidRDefault="009272C8" w:rsidP="009272C8">
      <w:pPr>
        <w:widowControl w:val="0"/>
        <w:ind w:firstLine="720"/>
        <w:contextualSpacing/>
        <w:jc w:val="both"/>
        <w:rPr>
          <w:noProof/>
          <w:color w:val="000000" w:themeColor="text1"/>
          <w:sz w:val="24"/>
          <w:szCs w:val="24"/>
        </w:rPr>
      </w:pPr>
      <w:r w:rsidRPr="009272C8">
        <w:rPr>
          <w:noProof/>
          <w:color w:val="000000" w:themeColor="text1"/>
          <w:sz w:val="24"/>
          <w:szCs w:val="24"/>
        </w:rPr>
        <w:t>Centrs aicina izplatīt šo informāciju visiem asociāciju biedriem un citām ieinteresētam personām zināšanai un izmantošanai darbā.</w:t>
      </w:r>
    </w:p>
    <w:p w14:paraId="4D136957" w14:textId="77777777" w:rsidR="003836D4" w:rsidRDefault="003836D4" w:rsidP="009272C8">
      <w:pPr>
        <w:widowControl w:val="0"/>
        <w:ind w:firstLine="720"/>
        <w:contextualSpacing/>
        <w:jc w:val="both"/>
        <w:rPr>
          <w:noProof/>
          <w:color w:val="000000" w:themeColor="text1"/>
          <w:sz w:val="24"/>
          <w:szCs w:val="24"/>
        </w:rPr>
      </w:pPr>
    </w:p>
    <w:p w14:paraId="79676130" w14:textId="77777777" w:rsidR="003836D4" w:rsidRPr="009272C8" w:rsidRDefault="003836D4" w:rsidP="009272C8">
      <w:pPr>
        <w:widowControl w:val="0"/>
        <w:ind w:firstLine="720"/>
        <w:contextualSpacing/>
        <w:jc w:val="both"/>
        <w:rPr>
          <w:noProof/>
          <w:color w:val="000000" w:themeColor="text1"/>
          <w:sz w:val="24"/>
          <w:szCs w:val="24"/>
        </w:rPr>
      </w:pPr>
    </w:p>
    <w:p w14:paraId="2FA49BEE" w14:textId="77777777" w:rsidR="009272C8" w:rsidRDefault="009272C8" w:rsidP="003836D4">
      <w:pPr>
        <w:widowControl w:val="0"/>
        <w:tabs>
          <w:tab w:val="left" w:pos="6804"/>
        </w:tabs>
        <w:spacing w:before="960" w:after="480"/>
        <w:contextualSpacing/>
        <w:jc w:val="both"/>
        <w:rPr>
          <w:noProof/>
          <w:sz w:val="24"/>
          <w:szCs w:val="24"/>
          <w:lang w:eastAsia="lv-LV"/>
        </w:rPr>
      </w:pPr>
      <w:r w:rsidRPr="009272C8">
        <w:rPr>
          <w:sz w:val="24"/>
          <w:szCs w:val="24"/>
        </w:rPr>
        <w:t>Direktore</w:t>
      </w:r>
      <w:r w:rsidRPr="009272C8">
        <w:rPr>
          <w:sz w:val="24"/>
          <w:szCs w:val="24"/>
        </w:rPr>
        <w:tab/>
      </w:r>
      <w:r w:rsidRPr="009272C8">
        <w:rPr>
          <w:noProof/>
          <w:sz w:val="24"/>
          <w:szCs w:val="24"/>
          <w:lang w:eastAsia="lv-LV"/>
        </w:rPr>
        <w:t>Elīna Dimiņa</w:t>
      </w:r>
    </w:p>
    <w:p w14:paraId="21492115" w14:textId="77777777" w:rsidR="009272C8" w:rsidRPr="009272C8" w:rsidRDefault="009272C8" w:rsidP="009272C8">
      <w:pPr>
        <w:widowControl w:val="0"/>
        <w:tabs>
          <w:tab w:val="left" w:pos="6804"/>
        </w:tabs>
        <w:spacing w:before="480" w:after="480"/>
        <w:contextualSpacing/>
        <w:jc w:val="both"/>
        <w:rPr>
          <w:sz w:val="24"/>
          <w:szCs w:val="24"/>
        </w:rPr>
      </w:pPr>
    </w:p>
    <w:p w14:paraId="58FEBBEC" w14:textId="77777777" w:rsidR="009272C8" w:rsidRPr="009272C8" w:rsidRDefault="009272C8" w:rsidP="009272C8">
      <w:pPr>
        <w:widowControl w:val="0"/>
        <w:pBdr>
          <w:top w:val="nil"/>
          <w:left w:val="nil"/>
          <w:bottom w:val="nil"/>
          <w:right w:val="nil"/>
          <w:between w:val="nil"/>
          <w:bar w:val="nil"/>
        </w:pBdr>
        <w:contextualSpacing/>
        <w:jc w:val="both"/>
        <w:rPr>
          <w:color w:val="000000"/>
          <w:u w:color="000000"/>
          <w:bdr w:val="nil"/>
          <w:lang w:eastAsia="lv-LV"/>
        </w:rPr>
      </w:pPr>
      <w:r w:rsidRPr="009272C8">
        <w:rPr>
          <w:noProof/>
          <w:color w:val="000000"/>
          <w:u w:color="000000"/>
          <w:bdr w:val="nil"/>
          <w:lang w:eastAsia="lv-LV"/>
        </w:rPr>
        <w:t>Ilona Čerņakova</w:t>
      </w:r>
      <w:r w:rsidRPr="009272C8">
        <w:rPr>
          <w:color w:val="000000"/>
          <w:u w:color="000000"/>
          <w:bdr w:val="nil"/>
          <w:lang w:eastAsia="lv-LV"/>
        </w:rPr>
        <w:t xml:space="preserve"> </w:t>
      </w:r>
      <w:r w:rsidRPr="009272C8">
        <w:rPr>
          <w:noProof/>
          <w:color w:val="000000"/>
          <w:u w:color="000000"/>
          <w:bdr w:val="nil"/>
          <w:lang w:eastAsia="lv-LV"/>
        </w:rPr>
        <w:t>66955725</w:t>
      </w:r>
    </w:p>
    <w:p w14:paraId="43555665" w14:textId="44272338" w:rsidR="00A91007" w:rsidRPr="000F6A94" w:rsidRDefault="009272C8" w:rsidP="000F6A94">
      <w:pPr>
        <w:widowControl w:val="0"/>
        <w:pBdr>
          <w:top w:val="nil"/>
          <w:left w:val="nil"/>
          <w:bottom w:val="nil"/>
          <w:right w:val="nil"/>
          <w:between w:val="nil"/>
          <w:bar w:val="nil"/>
        </w:pBdr>
        <w:contextualSpacing/>
        <w:jc w:val="both"/>
        <w:rPr>
          <w:noProof/>
          <w:color w:val="000000"/>
          <w:u w:color="000000"/>
          <w:bdr w:val="nil"/>
          <w:lang w:eastAsia="lv-LV"/>
        </w:rPr>
      </w:pPr>
      <w:r w:rsidRPr="009272C8">
        <w:rPr>
          <w:noProof/>
          <w:color w:val="000000"/>
          <w:u w:color="000000"/>
          <w:bdr w:val="nil"/>
          <w:lang w:eastAsia="lv-LV"/>
        </w:rPr>
        <w:t>ilona.cernakova@spkc.gov.lv</w:t>
      </w:r>
    </w:p>
    <w:sectPr w:rsidR="00A91007" w:rsidRPr="000F6A94" w:rsidSect="003836D4">
      <w:footerReference w:type="default" r:id="rId11"/>
      <w:pgSz w:w="11906" w:h="16838"/>
      <w:pgMar w:top="1170" w:right="1646"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627E" w14:textId="77777777" w:rsidR="00891582" w:rsidRDefault="00891582">
      <w:r>
        <w:separator/>
      </w:r>
    </w:p>
  </w:endnote>
  <w:endnote w:type="continuationSeparator" w:id="0">
    <w:p w14:paraId="5232EE4D" w14:textId="77777777" w:rsidR="00891582" w:rsidRDefault="0089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A9EB" w14:textId="77777777" w:rsidR="00F84E4B" w:rsidRDefault="00B45283" w:rsidP="00F84E4B">
    <w:pPr>
      <w:pStyle w:val="Kjene"/>
      <w:jc w:val="center"/>
    </w:pPr>
    <w:r w:rsidRPr="001B3C4F">
      <w:t>DOKUMENTS PARAKSTĪTS ELEKTRONISKI AR DROŠU ELEKTRONISKO PARAKSTU</w:t>
    </w:r>
  </w:p>
  <w:p w14:paraId="0D3A8D37" w14:textId="77777777" w:rsidR="00CD015F" w:rsidRDefault="00B45283" w:rsidP="00F84E4B">
    <w:pPr>
      <w:pStyle w:val="Kjene"/>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379C" w14:textId="77777777" w:rsidR="00891582" w:rsidRDefault="00891582">
      <w:r>
        <w:separator/>
      </w:r>
    </w:p>
  </w:footnote>
  <w:footnote w:type="continuationSeparator" w:id="0">
    <w:p w14:paraId="440EA3A7" w14:textId="77777777" w:rsidR="00891582" w:rsidRDefault="00891582">
      <w:r>
        <w:continuationSeparator/>
      </w:r>
    </w:p>
  </w:footnote>
  <w:footnote w:id="1">
    <w:p w14:paraId="5326947B" w14:textId="77777777" w:rsidR="009272C8" w:rsidRDefault="009272C8" w:rsidP="009272C8">
      <w:pPr>
        <w:pStyle w:val="Vresteksts"/>
      </w:pPr>
      <w:r w:rsidRPr="3DF3BD63">
        <w:rPr>
          <w:rStyle w:val="Vresatsauce"/>
        </w:rPr>
        <w:footnoteRef/>
      </w:r>
      <w:r>
        <w:t xml:space="preserve"> </w:t>
      </w:r>
      <w:hyperlink r:id="rId1">
        <w:r w:rsidRPr="3DF3BD63">
          <w:rPr>
            <w:rStyle w:val="Hipersaite"/>
          </w:rPr>
          <w:t>https://www.ecdc.europa.eu/en/west-nile-fever/surveillance-and-disease-data/historical</w:t>
        </w:r>
      </w:hyperlink>
    </w:p>
  </w:footnote>
  <w:footnote w:id="2">
    <w:p w14:paraId="31F2D04D" w14:textId="31749610" w:rsidR="00FC1F99" w:rsidRDefault="00FC1F99" w:rsidP="00FC1F99">
      <w:pPr>
        <w:pStyle w:val="Vresteksts"/>
      </w:pPr>
      <w:r w:rsidRPr="5DA045D6">
        <w:rPr>
          <w:rStyle w:val="Vresatsauce"/>
        </w:rPr>
        <w:footnoteRef/>
      </w:r>
      <w:r>
        <w:t xml:space="preserve"> </w:t>
      </w:r>
      <w:hyperlink r:id="rId2" w:history="1">
        <w:r w:rsidR="000F6A94" w:rsidRPr="00561F71">
          <w:rPr>
            <w:rStyle w:val="Hipersaite"/>
          </w:rPr>
          <w:t>https://eur-lex.europa.eu/legal-content/LV/TXT/HTML/?uri=CELEX:32018D0945</w:t>
        </w:r>
      </w:hyperlink>
      <w:r w:rsidR="000F6A94">
        <w:t xml:space="preserve"> </w:t>
      </w:r>
    </w:p>
  </w:footnote>
  <w:footnote w:id="3">
    <w:p w14:paraId="4A7185B7" w14:textId="77777777" w:rsidR="009272C8" w:rsidRDefault="009272C8" w:rsidP="000F6A94">
      <w:pPr>
        <w:pStyle w:val="Vresteksts"/>
        <w:jc w:val="both"/>
      </w:pPr>
      <w:r w:rsidRPr="3DF3BD63">
        <w:rPr>
          <w:rStyle w:val="Vresatsauce"/>
        </w:rPr>
        <w:footnoteRef/>
      </w:r>
      <w:r>
        <w:t xml:space="preserve"> 2024. gadā 19 Eiropas valstis ir ziņojušas par 1436 vietēji iegūtiem </w:t>
      </w:r>
      <w:proofErr w:type="spellStart"/>
      <w:r>
        <w:t>Rietumnīlas</w:t>
      </w:r>
      <w:proofErr w:type="spellEnd"/>
      <w:r>
        <w:t xml:space="preserve"> vīrusa (RNV) infekcijas gadījumiem: Itālijā (455), Grieķijā (217), Spānijā (138), Ungārijā (111), Albānijā (106), Rumānijā (99), Turcijā (90), Serbijā (63), Francijā (39), Austrijā (34), Vācijā (27), Horvātijā (20), Bulgārijā (16), Slovākijā (6), Slovēnijā (5), Kosovā (4), Kiprā (2), Čehijā (2) un </w:t>
      </w:r>
      <w:proofErr w:type="spellStart"/>
      <w:r>
        <w:t>Ziemeļmaķedonijā</w:t>
      </w:r>
      <w:proofErr w:type="spellEnd"/>
      <w:r>
        <w:t xml:space="preserve"> (2). Agrākais un vēlākais saslimšanas sākuma datums bija attiecīgi 2024. gada 1. marts un 2024. gada 25. oktobris (</w:t>
      </w:r>
      <w:hyperlink r:id="rId3">
        <w:r w:rsidRPr="3DF3BD63">
          <w:rPr>
            <w:rStyle w:val="Hipersaite"/>
          </w:rPr>
          <w:t>https://www.ecdc.europa.eu/en/west-nile-fever/surveillance-and-disease-data/historical</w:t>
        </w:r>
      </w:hyperlink>
      <w:r>
        <w:t>)</w:t>
      </w:r>
    </w:p>
  </w:footnote>
  <w:footnote w:id="4">
    <w:p w14:paraId="00238EEF" w14:textId="77777777" w:rsidR="009272C8" w:rsidRDefault="009272C8" w:rsidP="000F6A94">
      <w:pPr>
        <w:pStyle w:val="Vresteksts"/>
        <w:jc w:val="both"/>
      </w:pPr>
      <w:r w:rsidRPr="6DEB894E">
        <w:rPr>
          <w:rStyle w:val="Vresatsauce"/>
        </w:rPr>
        <w:footnoteRef/>
      </w:r>
      <w:r>
        <w:t xml:space="preserve"> </w:t>
      </w:r>
      <w:hyperlink r:id="rId4">
        <w:r w:rsidRPr="6DEB894E">
          <w:rPr>
            <w:rStyle w:val="Hipersaite"/>
          </w:rPr>
          <w:t>https://www.ecdc.europa.eu/en/west-nile-virus-infection</w:t>
        </w:r>
      </w:hyperlink>
      <w:r>
        <w:t xml:space="preserve"> </w:t>
      </w:r>
    </w:p>
  </w:footnote>
  <w:footnote w:id="5">
    <w:p w14:paraId="6F2F04F1" w14:textId="77777777" w:rsidR="009272C8" w:rsidRDefault="009272C8" w:rsidP="009272C8">
      <w:pPr>
        <w:pStyle w:val="Vresteksts"/>
      </w:pPr>
      <w:r w:rsidRPr="6DEB894E">
        <w:rPr>
          <w:rStyle w:val="Vresatsauce"/>
        </w:rPr>
        <w:footnoteRef/>
      </w:r>
      <w:r>
        <w:t xml:space="preserve"> </w:t>
      </w:r>
      <w:hyperlink r:id="rId5">
        <w:r w:rsidRPr="6DEB894E">
          <w:rPr>
            <w:rStyle w:val="Hipersaite"/>
          </w:rPr>
          <w:t>https://www.spkc.gov.lv/lv/ieteikumi-un-veidlapas-zinosanai-par-infekcijas-slimibu-gadijumiem</w:t>
        </w:r>
      </w:hyperlink>
    </w:p>
  </w:footnote>
  <w:footnote w:id="6">
    <w:p w14:paraId="79DD9280" w14:textId="77777777" w:rsidR="009272C8" w:rsidRDefault="009272C8" w:rsidP="009272C8">
      <w:pPr>
        <w:pStyle w:val="Vresteksts"/>
      </w:pPr>
      <w:r w:rsidRPr="6DEB894E">
        <w:rPr>
          <w:rStyle w:val="Vresatsauce"/>
        </w:rPr>
        <w:footnoteRef/>
      </w:r>
      <w:r>
        <w:t xml:space="preserve"> </w:t>
      </w:r>
      <w:hyperlink r:id="rId6">
        <w:r w:rsidRPr="6DEB894E">
          <w:rPr>
            <w:rStyle w:val="Hipersaite"/>
          </w:rPr>
          <w:t>https://www.ecdc.europa.eu/en/west-nile-fever/surveillance-and-disease-data/historical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221"/>
    <w:multiLevelType w:val="hybridMultilevel"/>
    <w:tmpl w:val="186E9EE6"/>
    <w:lvl w:ilvl="0" w:tplc="A0B617F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94316D"/>
    <w:multiLevelType w:val="hybridMultilevel"/>
    <w:tmpl w:val="821047A6"/>
    <w:lvl w:ilvl="0" w:tplc="154C59D6">
      <w:start w:val="1"/>
      <w:numFmt w:val="decimal"/>
      <w:lvlText w:val="—"/>
      <w:lvlJc w:val="left"/>
      <w:pPr>
        <w:ind w:left="720" w:hanging="360"/>
      </w:pPr>
      <w:rPr>
        <w:rFonts w:ascii="Times New Roman" w:hAnsi="Times New Roman" w:hint="default"/>
      </w:rPr>
    </w:lvl>
    <w:lvl w:ilvl="1" w:tplc="C16A8FBC">
      <w:start w:val="1"/>
      <w:numFmt w:val="lowerLetter"/>
      <w:lvlText w:val="%2."/>
      <w:lvlJc w:val="left"/>
      <w:pPr>
        <w:ind w:left="1440" w:hanging="360"/>
      </w:pPr>
    </w:lvl>
    <w:lvl w:ilvl="2" w:tplc="819CC344">
      <w:start w:val="1"/>
      <w:numFmt w:val="lowerRoman"/>
      <w:lvlText w:val="%3."/>
      <w:lvlJc w:val="right"/>
      <w:pPr>
        <w:ind w:left="2160" w:hanging="180"/>
      </w:pPr>
    </w:lvl>
    <w:lvl w:ilvl="3" w:tplc="B41ADB8C">
      <w:start w:val="1"/>
      <w:numFmt w:val="decimal"/>
      <w:lvlText w:val="%4."/>
      <w:lvlJc w:val="left"/>
      <w:pPr>
        <w:ind w:left="2880" w:hanging="360"/>
      </w:pPr>
    </w:lvl>
    <w:lvl w:ilvl="4" w:tplc="2B247DC2">
      <w:start w:val="1"/>
      <w:numFmt w:val="lowerLetter"/>
      <w:lvlText w:val="%5."/>
      <w:lvlJc w:val="left"/>
      <w:pPr>
        <w:ind w:left="3600" w:hanging="360"/>
      </w:pPr>
    </w:lvl>
    <w:lvl w:ilvl="5" w:tplc="EE0E5666">
      <w:start w:val="1"/>
      <w:numFmt w:val="lowerRoman"/>
      <w:lvlText w:val="%6."/>
      <w:lvlJc w:val="right"/>
      <w:pPr>
        <w:ind w:left="4320" w:hanging="180"/>
      </w:pPr>
    </w:lvl>
    <w:lvl w:ilvl="6" w:tplc="E6B0B242">
      <w:start w:val="1"/>
      <w:numFmt w:val="decimal"/>
      <w:lvlText w:val="%7."/>
      <w:lvlJc w:val="left"/>
      <w:pPr>
        <w:ind w:left="5040" w:hanging="360"/>
      </w:pPr>
    </w:lvl>
    <w:lvl w:ilvl="7" w:tplc="FF54ED22">
      <w:start w:val="1"/>
      <w:numFmt w:val="lowerLetter"/>
      <w:lvlText w:val="%8."/>
      <w:lvlJc w:val="left"/>
      <w:pPr>
        <w:ind w:left="5760" w:hanging="360"/>
      </w:pPr>
    </w:lvl>
    <w:lvl w:ilvl="8" w:tplc="CE4E35F2">
      <w:start w:val="1"/>
      <w:numFmt w:val="lowerRoman"/>
      <w:lvlText w:val="%9."/>
      <w:lvlJc w:val="right"/>
      <w:pPr>
        <w:ind w:left="6480" w:hanging="180"/>
      </w:pPr>
    </w:lvl>
  </w:abstractNum>
  <w:abstractNum w:abstractNumId="2" w15:restartNumberingAfterBreak="0">
    <w:nsid w:val="1CEF24F9"/>
    <w:multiLevelType w:val="hybridMultilevel"/>
    <w:tmpl w:val="29E6B806"/>
    <w:lvl w:ilvl="0" w:tplc="FFFFFFFF">
      <w:start w:val="1"/>
      <w:numFmt w:val="bullet"/>
      <w:lvlText w:val=""/>
      <w:lvlJc w:val="left"/>
      <w:pPr>
        <w:ind w:left="720" w:hanging="360"/>
      </w:pPr>
      <w:rPr>
        <w:rFonts w:ascii="Symbol" w:hAnsi="Symbol" w:hint="default"/>
      </w:rPr>
    </w:lvl>
    <w:lvl w:ilvl="1" w:tplc="A0B617F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0D02AE"/>
    <w:multiLevelType w:val="hybridMultilevel"/>
    <w:tmpl w:val="D228EB00"/>
    <w:lvl w:ilvl="0" w:tplc="A0B617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9677D9"/>
    <w:multiLevelType w:val="hybridMultilevel"/>
    <w:tmpl w:val="FA36B2B2"/>
    <w:lvl w:ilvl="0" w:tplc="DF6CB11C">
      <w:numFmt w:val="bullet"/>
      <w:lvlText w:val="–"/>
      <w:lvlJc w:val="left"/>
      <w:pPr>
        <w:ind w:left="648" w:hanging="360"/>
      </w:pPr>
      <w:rPr>
        <w:rFonts w:ascii="Times New Roman" w:eastAsia="Times New Roman" w:hAnsi="Times New Roman" w:cs="Times New Roman" w:hint="default"/>
      </w:rPr>
    </w:lvl>
    <w:lvl w:ilvl="1" w:tplc="04260003" w:tentative="1">
      <w:start w:val="1"/>
      <w:numFmt w:val="bullet"/>
      <w:lvlText w:val="o"/>
      <w:lvlJc w:val="left"/>
      <w:pPr>
        <w:ind w:left="1368" w:hanging="360"/>
      </w:pPr>
      <w:rPr>
        <w:rFonts w:ascii="Courier New" w:hAnsi="Courier New" w:cs="Courier New" w:hint="default"/>
      </w:rPr>
    </w:lvl>
    <w:lvl w:ilvl="2" w:tplc="04260005" w:tentative="1">
      <w:start w:val="1"/>
      <w:numFmt w:val="bullet"/>
      <w:lvlText w:val=""/>
      <w:lvlJc w:val="left"/>
      <w:pPr>
        <w:ind w:left="2088" w:hanging="360"/>
      </w:pPr>
      <w:rPr>
        <w:rFonts w:ascii="Wingdings" w:hAnsi="Wingdings" w:hint="default"/>
      </w:rPr>
    </w:lvl>
    <w:lvl w:ilvl="3" w:tplc="04260001" w:tentative="1">
      <w:start w:val="1"/>
      <w:numFmt w:val="bullet"/>
      <w:lvlText w:val=""/>
      <w:lvlJc w:val="left"/>
      <w:pPr>
        <w:ind w:left="2808" w:hanging="360"/>
      </w:pPr>
      <w:rPr>
        <w:rFonts w:ascii="Symbol" w:hAnsi="Symbol" w:hint="default"/>
      </w:rPr>
    </w:lvl>
    <w:lvl w:ilvl="4" w:tplc="04260003" w:tentative="1">
      <w:start w:val="1"/>
      <w:numFmt w:val="bullet"/>
      <w:lvlText w:val="o"/>
      <w:lvlJc w:val="left"/>
      <w:pPr>
        <w:ind w:left="3528" w:hanging="360"/>
      </w:pPr>
      <w:rPr>
        <w:rFonts w:ascii="Courier New" w:hAnsi="Courier New" w:cs="Courier New" w:hint="default"/>
      </w:rPr>
    </w:lvl>
    <w:lvl w:ilvl="5" w:tplc="04260005" w:tentative="1">
      <w:start w:val="1"/>
      <w:numFmt w:val="bullet"/>
      <w:lvlText w:val=""/>
      <w:lvlJc w:val="left"/>
      <w:pPr>
        <w:ind w:left="4248" w:hanging="360"/>
      </w:pPr>
      <w:rPr>
        <w:rFonts w:ascii="Wingdings" w:hAnsi="Wingdings" w:hint="default"/>
      </w:rPr>
    </w:lvl>
    <w:lvl w:ilvl="6" w:tplc="04260001" w:tentative="1">
      <w:start w:val="1"/>
      <w:numFmt w:val="bullet"/>
      <w:lvlText w:val=""/>
      <w:lvlJc w:val="left"/>
      <w:pPr>
        <w:ind w:left="4968" w:hanging="360"/>
      </w:pPr>
      <w:rPr>
        <w:rFonts w:ascii="Symbol" w:hAnsi="Symbol" w:hint="default"/>
      </w:rPr>
    </w:lvl>
    <w:lvl w:ilvl="7" w:tplc="04260003" w:tentative="1">
      <w:start w:val="1"/>
      <w:numFmt w:val="bullet"/>
      <w:lvlText w:val="o"/>
      <w:lvlJc w:val="left"/>
      <w:pPr>
        <w:ind w:left="5688" w:hanging="360"/>
      </w:pPr>
      <w:rPr>
        <w:rFonts w:ascii="Courier New" w:hAnsi="Courier New" w:cs="Courier New" w:hint="default"/>
      </w:rPr>
    </w:lvl>
    <w:lvl w:ilvl="8" w:tplc="04260005" w:tentative="1">
      <w:start w:val="1"/>
      <w:numFmt w:val="bullet"/>
      <w:lvlText w:val=""/>
      <w:lvlJc w:val="left"/>
      <w:pPr>
        <w:ind w:left="6408" w:hanging="360"/>
      </w:pPr>
      <w:rPr>
        <w:rFonts w:ascii="Wingdings" w:hAnsi="Wingdings" w:hint="default"/>
      </w:rPr>
    </w:lvl>
  </w:abstractNum>
  <w:abstractNum w:abstractNumId="5" w15:restartNumberingAfterBreak="0">
    <w:nsid w:val="66D70DCE"/>
    <w:multiLevelType w:val="hybridMultilevel"/>
    <w:tmpl w:val="B03A1F04"/>
    <w:lvl w:ilvl="0" w:tplc="A0B617F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776723"/>
    <w:multiLevelType w:val="hybridMultilevel"/>
    <w:tmpl w:val="75C4787A"/>
    <w:lvl w:ilvl="0" w:tplc="C91A732A">
      <w:start w:val="1"/>
      <w:numFmt w:val="decimal"/>
      <w:lvlText w:val="%1."/>
      <w:lvlJc w:val="left"/>
      <w:pPr>
        <w:ind w:left="720" w:hanging="360"/>
      </w:pPr>
      <w:rPr>
        <w:rFonts w:hint="default"/>
      </w:rPr>
    </w:lvl>
    <w:lvl w:ilvl="1" w:tplc="8BDCE240">
      <w:start w:val="1"/>
      <w:numFmt w:val="lowerLetter"/>
      <w:lvlText w:val="%2."/>
      <w:lvlJc w:val="left"/>
      <w:pPr>
        <w:ind w:left="1440" w:hanging="360"/>
      </w:pPr>
    </w:lvl>
    <w:lvl w:ilvl="2" w:tplc="55E47556" w:tentative="1">
      <w:start w:val="1"/>
      <w:numFmt w:val="lowerRoman"/>
      <w:lvlText w:val="%3."/>
      <w:lvlJc w:val="right"/>
      <w:pPr>
        <w:ind w:left="2160" w:hanging="180"/>
      </w:pPr>
    </w:lvl>
    <w:lvl w:ilvl="3" w:tplc="D1DA5988" w:tentative="1">
      <w:start w:val="1"/>
      <w:numFmt w:val="decimal"/>
      <w:lvlText w:val="%4."/>
      <w:lvlJc w:val="left"/>
      <w:pPr>
        <w:ind w:left="2880" w:hanging="360"/>
      </w:pPr>
    </w:lvl>
    <w:lvl w:ilvl="4" w:tplc="0BE23724" w:tentative="1">
      <w:start w:val="1"/>
      <w:numFmt w:val="lowerLetter"/>
      <w:lvlText w:val="%5."/>
      <w:lvlJc w:val="left"/>
      <w:pPr>
        <w:ind w:left="3600" w:hanging="360"/>
      </w:pPr>
    </w:lvl>
    <w:lvl w:ilvl="5" w:tplc="E932B2C8" w:tentative="1">
      <w:start w:val="1"/>
      <w:numFmt w:val="lowerRoman"/>
      <w:lvlText w:val="%6."/>
      <w:lvlJc w:val="right"/>
      <w:pPr>
        <w:ind w:left="4320" w:hanging="180"/>
      </w:pPr>
    </w:lvl>
    <w:lvl w:ilvl="6" w:tplc="15F829FE" w:tentative="1">
      <w:start w:val="1"/>
      <w:numFmt w:val="decimal"/>
      <w:lvlText w:val="%7."/>
      <w:lvlJc w:val="left"/>
      <w:pPr>
        <w:ind w:left="5040" w:hanging="360"/>
      </w:pPr>
    </w:lvl>
    <w:lvl w:ilvl="7" w:tplc="6694BF3A" w:tentative="1">
      <w:start w:val="1"/>
      <w:numFmt w:val="lowerLetter"/>
      <w:lvlText w:val="%8."/>
      <w:lvlJc w:val="left"/>
      <w:pPr>
        <w:ind w:left="5760" w:hanging="360"/>
      </w:pPr>
    </w:lvl>
    <w:lvl w:ilvl="8" w:tplc="AC5E2618" w:tentative="1">
      <w:start w:val="1"/>
      <w:numFmt w:val="lowerRoman"/>
      <w:lvlText w:val="%9."/>
      <w:lvlJc w:val="right"/>
      <w:pPr>
        <w:ind w:left="6480" w:hanging="180"/>
      </w:pPr>
    </w:lvl>
  </w:abstractNum>
  <w:abstractNum w:abstractNumId="7" w15:restartNumberingAfterBreak="0">
    <w:nsid w:val="74A7712D"/>
    <w:multiLevelType w:val="hybridMultilevel"/>
    <w:tmpl w:val="69486C60"/>
    <w:lvl w:ilvl="0" w:tplc="A0B617FA">
      <w:start w:val="1"/>
      <w:numFmt w:val="bullet"/>
      <w:lvlText w:val=""/>
      <w:lvlJc w:val="left"/>
      <w:pPr>
        <w:ind w:left="720" w:hanging="360"/>
      </w:pPr>
      <w:rPr>
        <w:rFonts w:ascii="Symbol" w:hAnsi="Symbol" w:hint="default"/>
      </w:rPr>
    </w:lvl>
    <w:lvl w:ilvl="1" w:tplc="3FAE678A">
      <w:numFmt w:val="bullet"/>
      <w:lvlText w:val="—"/>
      <w:lvlJc w:val="left"/>
      <w:pPr>
        <w:ind w:left="2115" w:hanging="1035"/>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6"/>
  </w:num>
  <w:num w:numId="2" w16cid:durableId="619871805">
    <w:abstractNumId w:val="8"/>
  </w:num>
  <w:num w:numId="3" w16cid:durableId="269053454">
    <w:abstractNumId w:val="4"/>
  </w:num>
  <w:num w:numId="4" w16cid:durableId="1625504100">
    <w:abstractNumId w:val="1"/>
  </w:num>
  <w:num w:numId="5" w16cid:durableId="138039624">
    <w:abstractNumId w:val="7"/>
  </w:num>
  <w:num w:numId="6" w16cid:durableId="2123525780">
    <w:abstractNumId w:val="0"/>
  </w:num>
  <w:num w:numId="7" w16cid:durableId="468089954">
    <w:abstractNumId w:val="2"/>
  </w:num>
  <w:num w:numId="8" w16cid:durableId="2025592198">
    <w:abstractNumId w:val="5"/>
  </w:num>
  <w:num w:numId="9" w16cid:durableId="84004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019AA"/>
    <w:rsid w:val="00020179"/>
    <w:rsid w:val="0004666F"/>
    <w:rsid w:val="00070807"/>
    <w:rsid w:val="000D65D1"/>
    <w:rsid w:val="000F6A94"/>
    <w:rsid w:val="000F7F83"/>
    <w:rsid w:val="00112C48"/>
    <w:rsid w:val="00116EDC"/>
    <w:rsid w:val="00154B6E"/>
    <w:rsid w:val="00172A3B"/>
    <w:rsid w:val="00195A3A"/>
    <w:rsid w:val="001963C5"/>
    <w:rsid w:val="001B3C4F"/>
    <w:rsid w:val="001C6FD2"/>
    <w:rsid w:val="001F3DE1"/>
    <w:rsid w:val="002079F2"/>
    <w:rsid w:val="00222B8B"/>
    <w:rsid w:val="00237C47"/>
    <w:rsid w:val="0024041D"/>
    <w:rsid w:val="00244DFB"/>
    <w:rsid w:val="00247E9C"/>
    <w:rsid w:val="00280BAC"/>
    <w:rsid w:val="002A1F9A"/>
    <w:rsid w:val="002C0367"/>
    <w:rsid w:val="00376EF5"/>
    <w:rsid w:val="003836D4"/>
    <w:rsid w:val="003A5E2C"/>
    <w:rsid w:val="003E7BBE"/>
    <w:rsid w:val="003F2940"/>
    <w:rsid w:val="003F6412"/>
    <w:rsid w:val="00415D28"/>
    <w:rsid w:val="00443D6E"/>
    <w:rsid w:val="004568DF"/>
    <w:rsid w:val="00456D43"/>
    <w:rsid w:val="00477923"/>
    <w:rsid w:val="00480BD0"/>
    <w:rsid w:val="004A063D"/>
    <w:rsid w:val="00505CA0"/>
    <w:rsid w:val="0052054C"/>
    <w:rsid w:val="005249D9"/>
    <w:rsid w:val="00550C6A"/>
    <w:rsid w:val="0055269A"/>
    <w:rsid w:val="005603D1"/>
    <w:rsid w:val="00567EF3"/>
    <w:rsid w:val="00587CC8"/>
    <w:rsid w:val="005D3E87"/>
    <w:rsid w:val="006270E1"/>
    <w:rsid w:val="006765DF"/>
    <w:rsid w:val="00694C0C"/>
    <w:rsid w:val="006A3E8D"/>
    <w:rsid w:val="006D3FD6"/>
    <w:rsid w:val="00707348"/>
    <w:rsid w:val="007322A6"/>
    <w:rsid w:val="00764471"/>
    <w:rsid w:val="00784C77"/>
    <w:rsid w:val="007906BB"/>
    <w:rsid w:val="007D48D4"/>
    <w:rsid w:val="008220E2"/>
    <w:rsid w:val="00833581"/>
    <w:rsid w:val="008418C8"/>
    <w:rsid w:val="00887BCF"/>
    <w:rsid w:val="00891582"/>
    <w:rsid w:val="00893003"/>
    <w:rsid w:val="008A3138"/>
    <w:rsid w:val="008B15BC"/>
    <w:rsid w:val="008B2D43"/>
    <w:rsid w:val="008B6D06"/>
    <w:rsid w:val="008B742D"/>
    <w:rsid w:val="008C265B"/>
    <w:rsid w:val="00900AE9"/>
    <w:rsid w:val="009272C8"/>
    <w:rsid w:val="00987215"/>
    <w:rsid w:val="00994AA3"/>
    <w:rsid w:val="009D2F59"/>
    <w:rsid w:val="009E26F3"/>
    <w:rsid w:val="00A1786D"/>
    <w:rsid w:val="00A23AAC"/>
    <w:rsid w:val="00A24A6B"/>
    <w:rsid w:val="00A277B8"/>
    <w:rsid w:val="00A814C3"/>
    <w:rsid w:val="00A91007"/>
    <w:rsid w:val="00AB5056"/>
    <w:rsid w:val="00AC0435"/>
    <w:rsid w:val="00B05611"/>
    <w:rsid w:val="00B16961"/>
    <w:rsid w:val="00B45283"/>
    <w:rsid w:val="00B83C13"/>
    <w:rsid w:val="00B86B76"/>
    <w:rsid w:val="00BE7124"/>
    <w:rsid w:val="00BF3D96"/>
    <w:rsid w:val="00C12D6E"/>
    <w:rsid w:val="00C4438A"/>
    <w:rsid w:val="00C92245"/>
    <w:rsid w:val="00CA27BF"/>
    <w:rsid w:val="00CA700C"/>
    <w:rsid w:val="00CB2202"/>
    <w:rsid w:val="00CB77F0"/>
    <w:rsid w:val="00CC1A82"/>
    <w:rsid w:val="00CC4F90"/>
    <w:rsid w:val="00CD015F"/>
    <w:rsid w:val="00CF5F57"/>
    <w:rsid w:val="00D5053F"/>
    <w:rsid w:val="00D831E1"/>
    <w:rsid w:val="00D92D62"/>
    <w:rsid w:val="00D931DC"/>
    <w:rsid w:val="00DC0153"/>
    <w:rsid w:val="00DC1881"/>
    <w:rsid w:val="00DE33E0"/>
    <w:rsid w:val="00E029CF"/>
    <w:rsid w:val="00E10BEB"/>
    <w:rsid w:val="00E33119"/>
    <w:rsid w:val="00E402D8"/>
    <w:rsid w:val="00E46716"/>
    <w:rsid w:val="00E46A48"/>
    <w:rsid w:val="00E55896"/>
    <w:rsid w:val="00E92ACC"/>
    <w:rsid w:val="00EC6B3B"/>
    <w:rsid w:val="00EE4551"/>
    <w:rsid w:val="00EE7EE5"/>
    <w:rsid w:val="00EF11F7"/>
    <w:rsid w:val="00F0212A"/>
    <w:rsid w:val="00F84E4B"/>
    <w:rsid w:val="00FB54D0"/>
    <w:rsid w:val="00FC1F99"/>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D11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A6B"/>
    <w:rPr>
      <w:rFonts w:eastAsia="Times New Roman"/>
      <w:lang w:eastAsia="en-US"/>
    </w:rPr>
  </w:style>
  <w:style w:type="paragraph" w:styleId="Virsraksts1">
    <w:name w:val="heading 1"/>
    <w:basedOn w:val="Parasts"/>
    <w:next w:val="Parasts"/>
    <w:link w:val="Virsraksts1Rakstz"/>
    <w:uiPriority w:val="9"/>
    <w:qFormat/>
    <w:rsid w:val="00994AA3"/>
    <w:pPr>
      <w:keepNext/>
      <w:jc w:val="center"/>
      <w:outlineLvl w:val="0"/>
    </w:pPr>
    <w:rPr>
      <w:b/>
      <w:bCs/>
    </w:rPr>
  </w:style>
  <w:style w:type="paragraph" w:styleId="Virsraksts2">
    <w:name w:val="heading 2"/>
    <w:basedOn w:val="Parasts"/>
    <w:next w:val="Parasts"/>
    <w:link w:val="Virsraksts2Rakstz"/>
    <w:qFormat/>
    <w:rsid w:val="00994AA3"/>
    <w:pPr>
      <w:keepNext/>
      <w:tabs>
        <w:tab w:val="num" w:pos="495"/>
      </w:tabs>
      <w:ind w:left="495" w:hanging="495"/>
      <w:outlineLvl w:val="1"/>
    </w:pPr>
    <w:rPr>
      <w:b/>
    </w:rPr>
  </w:style>
  <w:style w:type="paragraph" w:styleId="Virsraksts3">
    <w:name w:val="heading 3"/>
    <w:basedOn w:val="Parasts"/>
    <w:next w:val="Parasts"/>
    <w:link w:val="Virsraksts3Rakstz"/>
    <w:qFormat/>
    <w:rsid w:val="00994AA3"/>
    <w:pPr>
      <w:keepNext/>
      <w:outlineLvl w:val="2"/>
    </w:pPr>
    <w:rPr>
      <w:b/>
      <w:color w:val="FF0000"/>
      <w:sz w:val="44"/>
    </w:rPr>
  </w:style>
  <w:style w:type="paragraph" w:styleId="Virsraksts4">
    <w:name w:val="heading 4"/>
    <w:basedOn w:val="Parasts"/>
    <w:link w:val="Virsraksts4Rakstz"/>
    <w:uiPriority w:val="9"/>
    <w:qFormat/>
    <w:rsid w:val="00994AA3"/>
    <w:pPr>
      <w:spacing w:before="100" w:beforeAutospacing="1" w:after="100" w:afterAutospacing="1"/>
      <w:outlineLvl w:val="3"/>
    </w:pPr>
    <w:rPr>
      <w:b/>
      <w:bCs/>
    </w:rPr>
  </w:style>
  <w:style w:type="paragraph" w:styleId="Virsraksts5">
    <w:name w:val="heading 5"/>
    <w:basedOn w:val="Parasts"/>
    <w:next w:val="Parasts"/>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994AA3"/>
    <w:rPr>
      <w:b/>
      <w:bCs/>
      <w:sz w:val="24"/>
      <w:szCs w:val="24"/>
    </w:rPr>
  </w:style>
  <w:style w:type="character" w:customStyle="1" w:styleId="Virsraksts2Rakstz">
    <w:name w:val="Virsraksts 2 Rakstz."/>
    <w:link w:val="Virsraksts2"/>
    <w:rsid w:val="00994AA3"/>
    <w:rPr>
      <w:b/>
      <w:sz w:val="24"/>
    </w:rPr>
  </w:style>
  <w:style w:type="character" w:customStyle="1" w:styleId="Virsraksts3Rakstz">
    <w:name w:val="Virsraksts 3 Rakstz."/>
    <w:link w:val="Virsraksts3"/>
    <w:rsid w:val="00994AA3"/>
    <w:rPr>
      <w:b/>
      <w:color w:val="FF0000"/>
      <w:sz w:val="44"/>
    </w:rPr>
  </w:style>
  <w:style w:type="character" w:customStyle="1" w:styleId="Virsraksts4Rakstz">
    <w:name w:val="Virsraksts 4 Rakstz."/>
    <w:link w:val="Virsraksts4"/>
    <w:uiPriority w:val="9"/>
    <w:rsid w:val="00994AA3"/>
    <w:rPr>
      <w:b/>
      <w:bCs/>
      <w:sz w:val="24"/>
      <w:szCs w:val="24"/>
    </w:rPr>
  </w:style>
  <w:style w:type="character" w:customStyle="1" w:styleId="Virsraksts5Rakstz">
    <w:name w:val="Virsraksts 5 Rakstz."/>
    <w:link w:val="Virsraksts5"/>
    <w:uiPriority w:val="9"/>
    <w:rsid w:val="00994AA3"/>
    <w:rPr>
      <w:rFonts w:ascii="Calibri" w:hAnsi="Calibri"/>
      <w:b/>
      <w:bCs/>
      <w:i/>
      <w:iCs/>
      <w:sz w:val="26"/>
      <w:szCs w:val="26"/>
      <w:lang w:val="en-AU" w:eastAsia="x-none"/>
    </w:rPr>
  </w:style>
  <w:style w:type="paragraph" w:styleId="Bezatstarpm">
    <w:name w:val="No Spacing"/>
    <w:uiPriority w:val="1"/>
    <w:qFormat/>
    <w:rsid w:val="00994AA3"/>
    <w:rPr>
      <w:rFonts w:ascii="Calibri" w:hAnsi="Calibri"/>
      <w:sz w:val="22"/>
      <w:szCs w:val="22"/>
      <w:lang w:eastAsia="en-US"/>
    </w:rPr>
  </w:style>
  <w:style w:type="paragraph" w:styleId="Sarakstarindkopa">
    <w:name w:val="List Paragraph"/>
    <w:basedOn w:val="Parasts"/>
    <w:uiPriority w:val="34"/>
    <w:qFormat/>
    <w:rsid w:val="00994AA3"/>
    <w:pPr>
      <w:spacing w:after="200" w:line="276" w:lineRule="auto"/>
      <w:ind w:left="720"/>
      <w:contextualSpacing/>
    </w:pPr>
    <w:rPr>
      <w:rFonts w:ascii="Calibri" w:hAnsi="Calibri"/>
      <w:sz w:val="22"/>
      <w:szCs w:val="22"/>
    </w:rPr>
  </w:style>
  <w:style w:type="paragraph" w:styleId="Citts">
    <w:name w:val="Quote"/>
    <w:basedOn w:val="Parasts"/>
    <w:next w:val="Parasts"/>
    <w:link w:val="CittsRakstz"/>
    <w:uiPriority w:val="29"/>
    <w:qFormat/>
    <w:rsid w:val="00994AA3"/>
    <w:rPr>
      <w:i/>
      <w:sz w:val="28"/>
      <w:szCs w:val="28"/>
    </w:rPr>
  </w:style>
  <w:style w:type="character" w:customStyle="1" w:styleId="CittsRakstz">
    <w:name w:val="Citāts Rakstz."/>
    <w:link w:val="Citts"/>
    <w:uiPriority w:val="29"/>
    <w:rsid w:val="00994AA3"/>
    <w:rPr>
      <w:i/>
      <w:sz w:val="28"/>
      <w:szCs w:val="28"/>
    </w:rPr>
  </w:style>
  <w:style w:type="paragraph" w:styleId="Galvene">
    <w:name w:val="header"/>
    <w:basedOn w:val="Parasts"/>
    <w:link w:val="GalveneRakstz"/>
    <w:rsid w:val="00A24A6B"/>
    <w:pPr>
      <w:tabs>
        <w:tab w:val="center" w:pos="4320"/>
        <w:tab w:val="right" w:pos="8640"/>
      </w:tabs>
    </w:pPr>
    <w:rPr>
      <w:rFonts w:ascii="Arial" w:hAnsi="Arial"/>
      <w:sz w:val="24"/>
    </w:rPr>
  </w:style>
  <w:style w:type="character" w:customStyle="1" w:styleId="GalveneRakstz">
    <w:name w:val="Galvene Rakstz."/>
    <w:link w:val="Galvene"/>
    <w:rsid w:val="00A24A6B"/>
    <w:rPr>
      <w:rFonts w:ascii="Arial" w:eastAsia="Times New Roman" w:hAnsi="Arial"/>
      <w:sz w:val="24"/>
      <w:lang w:eastAsia="en-US"/>
    </w:rPr>
  </w:style>
  <w:style w:type="table" w:styleId="Reatabula">
    <w:name w:val="Table Grid"/>
    <w:basedOn w:val="Parastatabula"/>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D015F"/>
    <w:pPr>
      <w:tabs>
        <w:tab w:val="center" w:pos="4153"/>
        <w:tab w:val="right" w:pos="8306"/>
      </w:tabs>
    </w:pPr>
  </w:style>
  <w:style w:type="character" w:customStyle="1" w:styleId="KjeneRakstz">
    <w:name w:val="Kājene Rakstz."/>
    <w:link w:val="Kjene"/>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Beiguvresteksts">
    <w:name w:val="endnote text"/>
    <w:basedOn w:val="Parasts"/>
    <w:link w:val="BeiguvrestekstsRakstz"/>
    <w:uiPriority w:val="99"/>
    <w:semiHidden/>
    <w:unhideWhenUsed/>
    <w:rsid w:val="00CA700C"/>
  </w:style>
  <w:style w:type="character" w:customStyle="1" w:styleId="BeiguvrestekstsRakstz">
    <w:name w:val="Beigu vēres teksts Rakstz."/>
    <w:basedOn w:val="Noklusjumarindkopasfonts"/>
    <w:link w:val="Beiguvresteksts"/>
    <w:uiPriority w:val="99"/>
    <w:semiHidden/>
    <w:rsid w:val="00CA700C"/>
    <w:rPr>
      <w:rFonts w:eastAsia="Times New Roman"/>
      <w:lang w:eastAsia="en-US"/>
    </w:rPr>
  </w:style>
  <w:style w:type="character" w:styleId="Beiguvresatsauce">
    <w:name w:val="endnote reference"/>
    <w:basedOn w:val="Noklusjumarindkopasfonts"/>
    <w:uiPriority w:val="99"/>
    <w:semiHidden/>
    <w:unhideWhenUsed/>
    <w:rsid w:val="00CA700C"/>
    <w:rPr>
      <w:vertAlign w:val="superscript"/>
    </w:rPr>
  </w:style>
  <w:style w:type="paragraph" w:styleId="Vresteksts">
    <w:name w:val="footnote text"/>
    <w:basedOn w:val="Parasts"/>
    <w:link w:val="VrestekstsRakstz"/>
    <w:uiPriority w:val="99"/>
    <w:semiHidden/>
    <w:unhideWhenUsed/>
    <w:rsid w:val="00CA700C"/>
  </w:style>
  <w:style w:type="character" w:customStyle="1" w:styleId="VrestekstsRakstz">
    <w:name w:val="Vēres teksts Rakstz."/>
    <w:basedOn w:val="Noklusjumarindkopasfonts"/>
    <w:link w:val="Vresteksts"/>
    <w:uiPriority w:val="99"/>
    <w:semiHidden/>
    <w:rsid w:val="00CA700C"/>
    <w:rPr>
      <w:rFonts w:eastAsia="Times New Roman"/>
      <w:lang w:eastAsia="en-US"/>
    </w:rPr>
  </w:style>
  <w:style w:type="character" w:styleId="Vresatsauce">
    <w:name w:val="footnote reference"/>
    <w:basedOn w:val="Noklusjumarindkopasfonts"/>
    <w:uiPriority w:val="99"/>
    <w:semiHidden/>
    <w:unhideWhenUsed/>
    <w:rsid w:val="00CA700C"/>
    <w:rPr>
      <w:vertAlign w:val="superscript"/>
    </w:rPr>
  </w:style>
  <w:style w:type="character" w:styleId="Hipersaite">
    <w:name w:val="Hyperlink"/>
    <w:basedOn w:val="Noklusjumarindkopasfonts"/>
    <w:uiPriority w:val="99"/>
    <w:unhideWhenUsed/>
    <w:rsid w:val="00CA700C"/>
    <w:rPr>
      <w:color w:val="0563C1" w:themeColor="hyperlink"/>
      <w:u w:val="single"/>
    </w:rPr>
  </w:style>
  <w:style w:type="character" w:styleId="Neatrisintapieminana">
    <w:name w:val="Unresolved Mention"/>
    <w:basedOn w:val="Noklusjumarindkopasfonts"/>
    <w:uiPriority w:val="99"/>
    <w:semiHidden/>
    <w:unhideWhenUsed/>
    <w:rsid w:val="00CA700C"/>
    <w:rPr>
      <w:color w:val="605E5C"/>
      <w:shd w:val="clear" w:color="auto" w:fill="E1DFDD"/>
    </w:rPr>
  </w:style>
  <w:style w:type="paragraph" w:styleId="Paraststmeklis">
    <w:name w:val="Normal (Web)"/>
    <w:basedOn w:val="Parasts"/>
    <w:uiPriority w:val="99"/>
    <w:semiHidden/>
    <w:unhideWhenUsed/>
    <w:rsid w:val="00CA700C"/>
    <w:rPr>
      <w:sz w:val="24"/>
      <w:szCs w:val="24"/>
    </w:rPr>
  </w:style>
  <w:style w:type="paragraph" w:customStyle="1" w:styleId="paragraph">
    <w:name w:val="paragraph"/>
    <w:basedOn w:val="Parasts"/>
    <w:rsid w:val="00EF11F7"/>
    <w:pPr>
      <w:spacing w:before="100" w:beforeAutospacing="1" w:after="100" w:afterAutospacing="1"/>
    </w:pPr>
    <w:rPr>
      <w:sz w:val="24"/>
      <w:szCs w:val="24"/>
      <w:lang w:eastAsia="lv-LV"/>
    </w:rPr>
  </w:style>
  <w:style w:type="character" w:customStyle="1" w:styleId="wacimagecontainer">
    <w:name w:val="wacimagecontainer"/>
    <w:basedOn w:val="Noklusjumarindkopasfonts"/>
    <w:rsid w:val="00EF11F7"/>
  </w:style>
  <w:style w:type="character" w:customStyle="1" w:styleId="normaltextrun">
    <w:name w:val="normaltextrun"/>
    <w:basedOn w:val="Noklusjumarindkopasfonts"/>
    <w:rsid w:val="00EF11F7"/>
  </w:style>
  <w:style w:type="character" w:customStyle="1" w:styleId="eop">
    <w:name w:val="eop"/>
    <w:basedOn w:val="Noklusjumarindkopasfonts"/>
    <w:rsid w:val="00EF11F7"/>
  </w:style>
  <w:style w:type="paragraph" w:styleId="Komentrateksts">
    <w:name w:val="annotation text"/>
    <w:basedOn w:val="Parasts"/>
    <w:link w:val="KomentratekstsRakstz"/>
    <w:uiPriority w:val="99"/>
    <w:semiHidden/>
    <w:unhideWhenUsed/>
    <w:rsid w:val="002C0367"/>
  </w:style>
  <w:style w:type="character" w:customStyle="1" w:styleId="KomentratekstsRakstz">
    <w:name w:val="Komentāra teksts Rakstz."/>
    <w:basedOn w:val="Noklusjumarindkopasfonts"/>
    <w:link w:val="Komentrateksts"/>
    <w:uiPriority w:val="99"/>
    <w:semiHidden/>
    <w:rsid w:val="002C0367"/>
    <w:rPr>
      <w:rFonts w:eastAsia="Times New Roman"/>
      <w:lang w:eastAsia="en-US"/>
    </w:rPr>
  </w:style>
  <w:style w:type="character" w:styleId="Komentraatsauce">
    <w:name w:val="annotation reference"/>
    <w:basedOn w:val="Noklusjumarindkopasfonts"/>
    <w:uiPriority w:val="99"/>
    <w:semiHidden/>
    <w:unhideWhenUsed/>
    <w:rsid w:val="002C0367"/>
    <w:rPr>
      <w:sz w:val="16"/>
      <w:szCs w:val="16"/>
    </w:rPr>
  </w:style>
  <w:style w:type="table" w:styleId="Reatabula1gaia">
    <w:name w:val="Grid Table 1 Light"/>
    <w:basedOn w:val="Parastatabula"/>
    <w:uiPriority w:val="46"/>
    <w:rsid w:val="002C03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mpd@nmpd.gov.lv" TargetMode="External"/><Relationship Id="rId4" Type="http://schemas.openxmlformats.org/officeDocument/2006/relationships/settings" Target="settings.xml"/><Relationship Id="rId9" Type="http://schemas.openxmlformats.org/officeDocument/2006/relationships/hyperlink" Target="mailto:pasts@spkc.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dc.europa.eu/en/west-nile-fever/surveillance-and-disease-data/historical" TargetMode="External"/><Relationship Id="rId2" Type="http://schemas.openxmlformats.org/officeDocument/2006/relationships/hyperlink" Target="https://eur-lex.europa.eu/legal-content/LV/TXT/HTML/?uri=CELEX:32018D0945" TargetMode="External"/><Relationship Id="rId1" Type="http://schemas.openxmlformats.org/officeDocument/2006/relationships/hyperlink" Target="https://www.ecdc.europa.eu/en/west-nile-fever/surveillance-and-disease-data/historical" TargetMode="External"/><Relationship Id="rId6" Type="http://schemas.openxmlformats.org/officeDocument/2006/relationships/hyperlink" Target="https://www.ecdc.europa.eu/en/west-nile-fever/surveillance-and-disease-data/historical" TargetMode="External"/><Relationship Id="rId5" Type="http://schemas.openxmlformats.org/officeDocument/2006/relationships/hyperlink" Target="https://www.spkc.gov.lv/lv/ieteikumi-un-veidlapas-zinosanai-par-infekcijas-slimibu-gadijumiem" TargetMode="External"/><Relationship Id="rId4" Type="http://schemas.openxmlformats.org/officeDocument/2006/relationships/hyperlink" Target="https://www.ecdc.europa.eu/en/west-nile-virus-inf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0B1A-ECCC-4C22-AE74-BACE771E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4</Pages>
  <Words>5098</Words>
  <Characters>2906</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Vineta Leincena</cp:lastModifiedBy>
  <cp:revision>2</cp:revision>
  <cp:lastPrinted>2016-02-15T06:53:00Z</cp:lastPrinted>
  <dcterms:created xsi:type="dcterms:W3CDTF">2026-05-20T06:45:00Z</dcterms:created>
  <dcterms:modified xsi:type="dcterms:W3CDTF">2026-05-20T06:45:00Z</dcterms:modified>
</cp:coreProperties>
</file>