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C9D2" w14:textId="77777777" w:rsidR="00AA3AF9" w:rsidRPr="00AA3AF9" w:rsidRDefault="00AA3AF9" w:rsidP="00AA3AF9">
      <w:pPr>
        <w:spacing w:after="0"/>
        <w:ind w:left="4962"/>
        <w:rPr>
          <w:rFonts w:ascii="Times New Roman" w:hAnsi="Times New Roman" w:cs="Times New Roman"/>
          <w:sz w:val="24"/>
          <w:szCs w:val="24"/>
        </w:rPr>
      </w:pPr>
      <w:r w:rsidRPr="00AA3AF9">
        <w:rPr>
          <w:rFonts w:ascii="Times New Roman" w:hAnsi="Times New Roman" w:cs="Times New Roman"/>
          <w:sz w:val="24"/>
          <w:szCs w:val="24"/>
        </w:rPr>
        <w:t>Sabiedrība ar ierobežotu atbildību "LIEPĀJAS REĢIONĀLĀ SLIMNĪCA"</w:t>
      </w:r>
    </w:p>
    <w:p w14:paraId="72757984" w14:textId="77777777" w:rsidR="00AA3AF9" w:rsidRPr="00AA3AF9" w:rsidRDefault="00AA3AF9" w:rsidP="00AA3AF9">
      <w:pPr>
        <w:spacing w:after="0"/>
        <w:ind w:left="4962"/>
        <w:rPr>
          <w:rFonts w:ascii="Times New Roman" w:hAnsi="Times New Roman" w:cs="Times New Roman"/>
          <w:sz w:val="24"/>
          <w:szCs w:val="24"/>
        </w:rPr>
      </w:pPr>
      <w:r w:rsidRPr="00AA3AF9">
        <w:rPr>
          <w:rFonts w:ascii="Times New Roman" w:hAnsi="Times New Roman" w:cs="Times New Roman"/>
          <w:sz w:val="24"/>
          <w:szCs w:val="24"/>
        </w:rPr>
        <w:t>Sabiedrība ar ierobežotu atbildību "Daugavpils reģionālā slimnīca"</w:t>
      </w:r>
    </w:p>
    <w:p w14:paraId="1FC3C374" w14:textId="77777777" w:rsidR="00AA3AF9" w:rsidRPr="00AA3AF9" w:rsidRDefault="00AA3AF9" w:rsidP="00AA3AF9">
      <w:pPr>
        <w:spacing w:after="0"/>
        <w:ind w:left="4962"/>
        <w:rPr>
          <w:rFonts w:ascii="Times New Roman" w:hAnsi="Times New Roman" w:cs="Times New Roman"/>
          <w:sz w:val="24"/>
          <w:szCs w:val="24"/>
        </w:rPr>
      </w:pPr>
      <w:r w:rsidRPr="00AA3AF9">
        <w:rPr>
          <w:rFonts w:ascii="Times New Roman" w:hAnsi="Times New Roman" w:cs="Times New Roman"/>
          <w:sz w:val="24"/>
          <w:szCs w:val="24"/>
        </w:rPr>
        <w:t>SIA "Ziemeļkurzemes reģionālā slimnīca"</w:t>
      </w:r>
    </w:p>
    <w:p w14:paraId="612037F7" w14:textId="77777777" w:rsidR="00AA3AF9" w:rsidRPr="00AA3AF9" w:rsidRDefault="00AA3AF9" w:rsidP="00AA3AF9">
      <w:pPr>
        <w:spacing w:after="0"/>
        <w:ind w:left="4962"/>
        <w:rPr>
          <w:rFonts w:ascii="Times New Roman" w:hAnsi="Times New Roman" w:cs="Times New Roman"/>
          <w:sz w:val="24"/>
          <w:szCs w:val="24"/>
        </w:rPr>
      </w:pPr>
      <w:r w:rsidRPr="00AA3AF9">
        <w:rPr>
          <w:rFonts w:ascii="Times New Roman" w:hAnsi="Times New Roman" w:cs="Times New Roman"/>
          <w:sz w:val="24"/>
          <w:szCs w:val="24"/>
        </w:rPr>
        <w:t>Sabiedrība ar ierobežotu atbildību "Vidzemes slimnīca"</w:t>
      </w:r>
    </w:p>
    <w:p w14:paraId="2C0FE84E" w14:textId="77777777" w:rsidR="00AA3AF9" w:rsidRPr="00AA3AF9" w:rsidRDefault="00AA3AF9" w:rsidP="00AA3AF9">
      <w:pPr>
        <w:spacing w:after="0"/>
        <w:ind w:left="4962"/>
        <w:rPr>
          <w:rFonts w:ascii="Times New Roman" w:hAnsi="Times New Roman" w:cs="Times New Roman"/>
          <w:sz w:val="24"/>
          <w:szCs w:val="24"/>
        </w:rPr>
      </w:pPr>
      <w:r w:rsidRPr="00AA3AF9">
        <w:rPr>
          <w:rFonts w:ascii="Times New Roman" w:hAnsi="Times New Roman" w:cs="Times New Roman"/>
          <w:sz w:val="24"/>
          <w:szCs w:val="24"/>
        </w:rPr>
        <w:t>Sabiedrība ar ierobežotu atbildību "Jēkabpils reģionālā slimnīca"</w:t>
      </w:r>
    </w:p>
    <w:p w14:paraId="794FCF8D" w14:textId="77777777" w:rsidR="00AA3AF9" w:rsidRPr="00AA3AF9" w:rsidRDefault="00AA3AF9" w:rsidP="00AA3AF9">
      <w:pPr>
        <w:spacing w:after="0"/>
        <w:ind w:left="4962"/>
        <w:rPr>
          <w:rFonts w:ascii="Times New Roman" w:hAnsi="Times New Roman" w:cs="Times New Roman"/>
          <w:sz w:val="24"/>
          <w:szCs w:val="24"/>
        </w:rPr>
      </w:pPr>
      <w:r w:rsidRPr="00AA3AF9">
        <w:rPr>
          <w:rFonts w:ascii="Times New Roman" w:hAnsi="Times New Roman" w:cs="Times New Roman"/>
          <w:sz w:val="24"/>
          <w:szCs w:val="24"/>
        </w:rPr>
        <w:t>Sabiedrība ar ierobežotu atbildību "RĒZEKNES SLIMNĪCA"</w:t>
      </w:r>
    </w:p>
    <w:p w14:paraId="05DA3E8D" w14:textId="77777777" w:rsidR="00AA3AF9" w:rsidRPr="00AA3AF9" w:rsidRDefault="00AA3AF9" w:rsidP="00AA3AF9">
      <w:pPr>
        <w:spacing w:after="0"/>
        <w:rPr>
          <w:rFonts w:ascii="Times New Roman" w:hAnsi="Times New Roman" w:cs="Times New Roman"/>
          <w:sz w:val="24"/>
          <w:szCs w:val="24"/>
        </w:rPr>
      </w:pPr>
    </w:p>
    <w:p w14:paraId="209E511C" w14:textId="39FB3987" w:rsidR="00AA3AF9" w:rsidRDefault="00AA3AF9" w:rsidP="00AA3AF9">
      <w:pPr>
        <w:spacing w:after="0"/>
        <w:rPr>
          <w:rFonts w:ascii="Times New Roman" w:hAnsi="Times New Roman" w:cs="Times New Roman"/>
          <w:sz w:val="24"/>
          <w:szCs w:val="24"/>
        </w:rPr>
      </w:pPr>
      <w:r w:rsidRPr="00AA3AF9">
        <w:rPr>
          <w:rFonts w:ascii="Times New Roman" w:hAnsi="Times New Roman" w:cs="Times New Roman"/>
          <w:sz w:val="24"/>
          <w:szCs w:val="24"/>
        </w:rPr>
        <w:t xml:space="preserve">Par </w:t>
      </w:r>
      <w:r>
        <w:rPr>
          <w:rFonts w:ascii="Times New Roman" w:hAnsi="Times New Roman" w:cs="Times New Roman"/>
          <w:sz w:val="24"/>
          <w:szCs w:val="24"/>
        </w:rPr>
        <w:t>uzaicinājumu piedalīties aptaujā</w:t>
      </w:r>
    </w:p>
    <w:p w14:paraId="2DDCCAF5" w14:textId="12BEACCE" w:rsidR="00AA3AF9" w:rsidRPr="00AA3AF9" w:rsidRDefault="00AA3AF9" w:rsidP="00AA3AF9">
      <w:pPr>
        <w:spacing w:after="0"/>
        <w:rPr>
          <w:rFonts w:ascii="Times New Roman" w:hAnsi="Times New Roman" w:cs="Times New Roman"/>
          <w:sz w:val="24"/>
          <w:szCs w:val="24"/>
        </w:rPr>
      </w:pPr>
      <w:r>
        <w:rPr>
          <w:rFonts w:ascii="Times New Roman" w:hAnsi="Times New Roman" w:cs="Times New Roman"/>
          <w:sz w:val="24"/>
          <w:szCs w:val="24"/>
        </w:rPr>
        <w:t>pilotprojekta īstenošanai</w:t>
      </w:r>
    </w:p>
    <w:p w14:paraId="749A6740" w14:textId="77777777" w:rsidR="00AA3AF9" w:rsidRPr="00AA3AF9" w:rsidRDefault="00AA3AF9" w:rsidP="00AA3AF9">
      <w:pPr>
        <w:spacing w:after="0"/>
        <w:rPr>
          <w:rFonts w:ascii="Times New Roman" w:hAnsi="Times New Roman" w:cs="Times New Roman"/>
          <w:sz w:val="24"/>
          <w:szCs w:val="24"/>
        </w:rPr>
      </w:pPr>
    </w:p>
    <w:p w14:paraId="681F1F99" w14:textId="77777777" w:rsidR="00EC7A1F" w:rsidRDefault="00EC7A1F" w:rsidP="00AA3AF9">
      <w:pPr>
        <w:spacing w:after="0"/>
        <w:ind w:firstLine="851"/>
        <w:jc w:val="both"/>
        <w:rPr>
          <w:rFonts w:ascii="Times New Roman" w:hAnsi="Times New Roman" w:cs="Times New Roman"/>
          <w:sz w:val="24"/>
          <w:szCs w:val="24"/>
        </w:rPr>
      </w:pPr>
    </w:p>
    <w:p w14:paraId="4D1C9343" w14:textId="54553CC9" w:rsidR="00AA3AF9" w:rsidRDefault="00AA3AF9" w:rsidP="002565D1">
      <w:pPr>
        <w:spacing w:after="0"/>
        <w:ind w:firstLine="426"/>
        <w:jc w:val="both"/>
        <w:rPr>
          <w:rFonts w:ascii="Times New Roman" w:hAnsi="Times New Roman" w:cs="Times New Roman"/>
          <w:sz w:val="24"/>
          <w:szCs w:val="24"/>
        </w:rPr>
      </w:pPr>
      <w:r w:rsidRPr="00AA3AF9">
        <w:rPr>
          <w:rFonts w:ascii="Times New Roman" w:hAnsi="Times New Roman" w:cs="Times New Roman"/>
          <w:sz w:val="24"/>
          <w:szCs w:val="24"/>
        </w:rPr>
        <w:t>Saskaņā ar piešķirto papildu finansējumu prioritārajam pasākumam “Mātes un bērna veselības uzlabošana” apakšpasākuma “Uzlabota briļļu pieejamība bērniem reģionos”, lai nodrošinātu pilotprojekta īstenošanu par redzes korekcijas nodrošināšanu bērniem ar noteiktiem redzes traucējumiem un acu slimībām</w:t>
      </w:r>
      <w:r>
        <w:rPr>
          <w:rFonts w:ascii="Times New Roman" w:hAnsi="Times New Roman" w:cs="Times New Roman"/>
          <w:sz w:val="24"/>
          <w:szCs w:val="24"/>
        </w:rPr>
        <w:t xml:space="preserve"> (turpmāk </w:t>
      </w:r>
      <w:r w:rsidRPr="00AA3AF9">
        <w:rPr>
          <w:rFonts w:ascii="Times New Roman" w:hAnsi="Times New Roman" w:cs="Times New Roman"/>
          <w:sz w:val="24"/>
          <w:szCs w:val="24"/>
        </w:rPr>
        <w:t xml:space="preserve">– </w:t>
      </w:r>
      <w:r w:rsidR="00F55A5B">
        <w:rPr>
          <w:rFonts w:ascii="Times New Roman" w:hAnsi="Times New Roman" w:cs="Times New Roman"/>
          <w:sz w:val="24"/>
          <w:szCs w:val="24"/>
        </w:rPr>
        <w:t>p</w:t>
      </w:r>
      <w:r w:rsidRPr="00AA3AF9">
        <w:rPr>
          <w:rFonts w:ascii="Times New Roman" w:hAnsi="Times New Roman" w:cs="Times New Roman"/>
          <w:sz w:val="24"/>
          <w:szCs w:val="24"/>
        </w:rPr>
        <w:t>akalpojums</w:t>
      </w:r>
      <w:r>
        <w:rPr>
          <w:rFonts w:ascii="Times New Roman" w:hAnsi="Times New Roman" w:cs="Times New Roman"/>
          <w:sz w:val="24"/>
          <w:szCs w:val="24"/>
        </w:rPr>
        <w:t>)</w:t>
      </w:r>
      <w:r w:rsidRPr="00AA3AF9">
        <w:rPr>
          <w:rFonts w:ascii="Times New Roman" w:hAnsi="Times New Roman" w:cs="Times New Roman"/>
          <w:sz w:val="24"/>
          <w:szCs w:val="24"/>
        </w:rPr>
        <w:t>, uzlabojot pakalpojuma pieejamību reģionos (turpmāk – Pilotprojekts</w:t>
      </w:r>
      <w:r>
        <w:rPr>
          <w:rFonts w:ascii="Times New Roman" w:hAnsi="Times New Roman" w:cs="Times New Roman"/>
          <w:sz w:val="24"/>
          <w:szCs w:val="24"/>
        </w:rPr>
        <w:t xml:space="preserve">), Dienests aicina </w:t>
      </w:r>
      <w:r w:rsidRPr="00AA3AF9">
        <w:t xml:space="preserve"> </w:t>
      </w:r>
      <w:r w:rsidRPr="00AA3AF9">
        <w:rPr>
          <w:rFonts w:ascii="Times New Roman" w:hAnsi="Times New Roman" w:cs="Times New Roman"/>
          <w:sz w:val="24"/>
          <w:szCs w:val="24"/>
        </w:rPr>
        <w:t>Ārstniecības iestādi</w:t>
      </w:r>
      <w:r>
        <w:t xml:space="preserve"> </w:t>
      </w:r>
      <w:r w:rsidR="00EC7A1F" w:rsidRPr="00EC7A1F">
        <w:rPr>
          <w:rFonts w:ascii="Times New Roman" w:hAnsi="Times New Roman" w:cs="Times New Roman"/>
          <w:sz w:val="24"/>
          <w:szCs w:val="24"/>
        </w:rPr>
        <w:t xml:space="preserve">piedalīties aptaujā </w:t>
      </w:r>
      <w:r w:rsidRPr="00AA3AF9">
        <w:rPr>
          <w:rFonts w:ascii="Times New Roman" w:hAnsi="Times New Roman" w:cs="Times New Roman"/>
          <w:sz w:val="24"/>
          <w:szCs w:val="24"/>
        </w:rPr>
        <w:t xml:space="preserve">par iespējām </w:t>
      </w:r>
      <w:r w:rsidR="00EC7A1F" w:rsidRPr="00EC7A1F">
        <w:rPr>
          <w:rFonts w:ascii="Times New Roman" w:hAnsi="Times New Roman" w:cs="Times New Roman"/>
          <w:sz w:val="24"/>
          <w:szCs w:val="24"/>
        </w:rPr>
        <w:t xml:space="preserve">laika posmā no 2026. gada 1. jūlija līdz 2027. gada 30.  jūnijam </w:t>
      </w:r>
      <w:r w:rsidRPr="00AA3AF9">
        <w:rPr>
          <w:rFonts w:ascii="Times New Roman" w:hAnsi="Times New Roman" w:cs="Times New Roman"/>
          <w:sz w:val="24"/>
          <w:szCs w:val="24"/>
        </w:rPr>
        <w:t>nodrošināt pakalpojumu bērniem ar noteiktiem redzes traucējumiem un acu slimībām (turpmāk – Pakalpojums) sniegšanu</w:t>
      </w:r>
      <w:r>
        <w:rPr>
          <w:rFonts w:ascii="Times New Roman" w:hAnsi="Times New Roman" w:cs="Times New Roman"/>
          <w:sz w:val="24"/>
          <w:szCs w:val="24"/>
        </w:rPr>
        <w:t>.</w:t>
      </w:r>
    </w:p>
    <w:p w14:paraId="4F3AD636" w14:textId="77777777" w:rsidR="00EC7A1F" w:rsidRDefault="00EC7A1F" w:rsidP="00AA3AF9">
      <w:pPr>
        <w:spacing w:after="0"/>
        <w:ind w:firstLine="851"/>
        <w:jc w:val="both"/>
        <w:rPr>
          <w:rFonts w:ascii="Times New Roman" w:hAnsi="Times New Roman" w:cs="Times New Roman"/>
          <w:sz w:val="24"/>
          <w:szCs w:val="24"/>
        </w:rPr>
      </w:pPr>
    </w:p>
    <w:p w14:paraId="585001CB" w14:textId="69B26288" w:rsidR="00EC7A1F" w:rsidRDefault="00EC7A1F" w:rsidP="002565D1">
      <w:pPr>
        <w:widowControl w:val="0"/>
        <w:spacing w:after="0" w:line="240" w:lineRule="auto"/>
        <w:ind w:left="360" w:firstLine="6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w:t>
      </w:r>
      <w:r w:rsidRPr="00EC7A1F">
        <w:rPr>
          <w:rFonts w:ascii="Times New Roman" w:eastAsia="Calibri" w:hAnsi="Times New Roman" w:cs="Times New Roman"/>
          <w:kern w:val="0"/>
          <w:sz w:val="24"/>
          <w:szCs w:val="24"/>
          <w14:ligatures w14:val="none"/>
        </w:rPr>
        <w:t>ndikatīvi plānotais Pakalpojumu apjoms Pilotprojekta ietvaros:</w:t>
      </w:r>
    </w:p>
    <w:p w14:paraId="207CE9EF" w14:textId="77777777" w:rsidR="002565D1" w:rsidRPr="00EC7A1F" w:rsidRDefault="002565D1" w:rsidP="002565D1">
      <w:pPr>
        <w:widowControl w:val="0"/>
        <w:spacing w:after="0" w:line="240" w:lineRule="auto"/>
        <w:ind w:left="360" w:firstLine="491"/>
        <w:contextualSpacing/>
        <w:jc w:val="both"/>
        <w:rPr>
          <w:rFonts w:ascii="Times New Roman" w:eastAsia="Calibri" w:hAnsi="Times New Roman" w:cs="Times New Roman"/>
          <w:kern w:val="0"/>
          <w:sz w:val="24"/>
          <w:szCs w:val="24"/>
          <w14:ligatures w14:val="none"/>
        </w:rPr>
      </w:pPr>
    </w:p>
    <w:tbl>
      <w:tblPr>
        <w:tblW w:w="7938" w:type="dxa"/>
        <w:tblInd w:w="421" w:type="dxa"/>
        <w:tblLook w:val="04A0" w:firstRow="1" w:lastRow="0" w:firstColumn="1" w:lastColumn="0" w:noHBand="0" w:noVBand="1"/>
      </w:tblPr>
      <w:tblGrid>
        <w:gridCol w:w="1984"/>
        <w:gridCol w:w="1985"/>
        <w:gridCol w:w="1984"/>
        <w:gridCol w:w="1985"/>
      </w:tblGrid>
      <w:tr w:rsidR="00EC7A1F" w:rsidRPr="00EC7A1F" w14:paraId="5930385E" w14:textId="77777777" w:rsidTr="006352FE">
        <w:trPr>
          <w:trHeight w:val="26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C2B8BBB"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Teritoriālā vienība</w:t>
            </w:r>
          </w:p>
        </w:tc>
        <w:tc>
          <w:tcPr>
            <w:tcW w:w="3969" w:type="dxa"/>
            <w:gridSpan w:val="2"/>
            <w:tcBorders>
              <w:top w:val="single" w:sz="4" w:space="0" w:color="auto"/>
              <w:left w:val="nil"/>
              <w:bottom w:val="single" w:sz="4" w:space="0" w:color="auto"/>
              <w:right w:val="single" w:sz="4" w:space="0" w:color="auto"/>
            </w:tcBorders>
            <w:vAlign w:val="center"/>
            <w:hideMark/>
          </w:tcPr>
          <w:p w14:paraId="7D9C2958"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 xml:space="preserve">Pakalpojumu skaits </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AEB1FCF" w14:textId="77777777" w:rsidR="00EC7A1F" w:rsidRPr="00EC7A1F" w:rsidRDefault="00EC7A1F" w:rsidP="00EC7A1F">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EC7A1F">
              <w:rPr>
                <w:rFonts w:ascii="Times New Roman" w:eastAsia="Times New Roman" w:hAnsi="Times New Roman" w:cs="Times New Roman"/>
                <w:b/>
                <w:bCs/>
                <w:color w:val="000000"/>
                <w:kern w:val="0"/>
                <w:sz w:val="20"/>
                <w:szCs w:val="20"/>
                <w:lang w:eastAsia="lv-LV"/>
                <w14:ligatures w14:val="none"/>
              </w:rPr>
              <w:t>KOPĀ</w:t>
            </w:r>
          </w:p>
        </w:tc>
      </w:tr>
      <w:tr w:rsidR="00EC7A1F" w:rsidRPr="00EC7A1F" w14:paraId="426189E7" w14:textId="77777777" w:rsidTr="006352FE">
        <w:trPr>
          <w:trHeight w:val="5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9EF44D8" w14:textId="77777777" w:rsidR="00EC7A1F" w:rsidRPr="00EC7A1F" w:rsidRDefault="00EC7A1F" w:rsidP="00EC7A1F">
            <w:pPr>
              <w:spacing w:after="0" w:line="240" w:lineRule="auto"/>
              <w:rPr>
                <w:rFonts w:ascii="Times New Roman" w:eastAsia="Times New Roman" w:hAnsi="Times New Roman" w:cs="Times New Roman"/>
                <w:color w:val="000000"/>
                <w:kern w:val="0"/>
                <w:sz w:val="20"/>
                <w:szCs w:val="20"/>
                <w:lang w:eastAsia="lv-LV"/>
                <w14:ligatures w14:val="none"/>
              </w:rPr>
            </w:pPr>
          </w:p>
        </w:tc>
        <w:tc>
          <w:tcPr>
            <w:tcW w:w="1985" w:type="dxa"/>
            <w:tcBorders>
              <w:top w:val="nil"/>
              <w:left w:val="nil"/>
              <w:bottom w:val="single" w:sz="4" w:space="0" w:color="auto"/>
              <w:right w:val="single" w:sz="4" w:space="0" w:color="auto"/>
            </w:tcBorders>
            <w:vAlign w:val="center"/>
            <w:hideMark/>
          </w:tcPr>
          <w:p w14:paraId="5B30CC03"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no 01.07.2026 līdz 31.12.2026</w:t>
            </w:r>
          </w:p>
        </w:tc>
        <w:tc>
          <w:tcPr>
            <w:tcW w:w="1984" w:type="dxa"/>
            <w:tcBorders>
              <w:top w:val="nil"/>
              <w:left w:val="nil"/>
              <w:bottom w:val="single" w:sz="4" w:space="0" w:color="auto"/>
              <w:right w:val="single" w:sz="4" w:space="0" w:color="auto"/>
            </w:tcBorders>
            <w:vAlign w:val="center"/>
            <w:hideMark/>
          </w:tcPr>
          <w:p w14:paraId="7A0F7C1B"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no 01.01.2027 līdz 30.06.2027</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F192307" w14:textId="77777777" w:rsidR="00EC7A1F" w:rsidRPr="00EC7A1F" w:rsidRDefault="00EC7A1F" w:rsidP="00EC7A1F">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EC7A1F" w:rsidRPr="00EC7A1F" w14:paraId="540EAD0E" w14:textId="77777777" w:rsidTr="006352FE">
        <w:trPr>
          <w:trHeight w:val="260"/>
        </w:trPr>
        <w:tc>
          <w:tcPr>
            <w:tcW w:w="1984" w:type="dxa"/>
            <w:tcBorders>
              <w:top w:val="nil"/>
              <w:left w:val="single" w:sz="4" w:space="0" w:color="auto"/>
              <w:bottom w:val="single" w:sz="4" w:space="0" w:color="auto"/>
              <w:right w:val="single" w:sz="4" w:space="0" w:color="auto"/>
            </w:tcBorders>
            <w:vAlign w:val="center"/>
            <w:hideMark/>
          </w:tcPr>
          <w:p w14:paraId="32F42BE6" w14:textId="77777777" w:rsidR="00EC7A1F" w:rsidRPr="00EC7A1F" w:rsidRDefault="00EC7A1F" w:rsidP="00EC7A1F">
            <w:pPr>
              <w:spacing w:after="0" w:line="240" w:lineRule="auto"/>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Kurzeme</w:t>
            </w:r>
          </w:p>
        </w:tc>
        <w:tc>
          <w:tcPr>
            <w:tcW w:w="1985" w:type="dxa"/>
            <w:tcBorders>
              <w:top w:val="nil"/>
              <w:left w:val="nil"/>
              <w:bottom w:val="single" w:sz="4" w:space="0" w:color="auto"/>
              <w:right w:val="single" w:sz="4" w:space="0" w:color="auto"/>
            </w:tcBorders>
            <w:vAlign w:val="center"/>
            <w:hideMark/>
          </w:tcPr>
          <w:p w14:paraId="5C44ED3F"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260</w:t>
            </w:r>
          </w:p>
        </w:tc>
        <w:tc>
          <w:tcPr>
            <w:tcW w:w="1984" w:type="dxa"/>
            <w:tcBorders>
              <w:top w:val="nil"/>
              <w:left w:val="nil"/>
              <w:bottom w:val="single" w:sz="4" w:space="0" w:color="auto"/>
              <w:right w:val="single" w:sz="4" w:space="0" w:color="auto"/>
            </w:tcBorders>
            <w:vAlign w:val="center"/>
            <w:hideMark/>
          </w:tcPr>
          <w:p w14:paraId="5B4E69CB"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260</w:t>
            </w:r>
          </w:p>
        </w:tc>
        <w:tc>
          <w:tcPr>
            <w:tcW w:w="1985" w:type="dxa"/>
            <w:tcBorders>
              <w:top w:val="nil"/>
              <w:left w:val="nil"/>
              <w:bottom w:val="single" w:sz="4" w:space="0" w:color="auto"/>
              <w:right w:val="single" w:sz="4" w:space="0" w:color="auto"/>
            </w:tcBorders>
            <w:vAlign w:val="center"/>
            <w:hideMark/>
          </w:tcPr>
          <w:p w14:paraId="6A3D7DC4" w14:textId="77777777" w:rsidR="00EC7A1F" w:rsidRPr="00EC7A1F" w:rsidRDefault="00EC7A1F" w:rsidP="00EC7A1F">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EC7A1F">
              <w:rPr>
                <w:rFonts w:ascii="Times New Roman" w:eastAsia="Times New Roman" w:hAnsi="Times New Roman" w:cs="Times New Roman"/>
                <w:b/>
                <w:bCs/>
                <w:color w:val="000000"/>
                <w:kern w:val="0"/>
                <w:sz w:val="20"/>
                <w:szCs w:val="20"/>
                <w:lang w:eastAsia="lv-LV"/>
                <w14:ligatures w14:val="none"/>
              </w:rPr>
              <w:t>520</w:t>
            </w:r>
          </w:p>
        </w:tc>
      </w:tr>
      <w:tr w:rsidR="00EC7A1F" w:rsidRPr="00EC7A1F" w14:paraId="6F1A786F" w14:textId="77777777" w:rsidTr="006352FE">
        <w:trPr>
          <w:trHeight w:val="260"/>
        </w:trPr>
        <w:tc>
          <w:tcPr>
            <w:tcW w:w="1984" w:type="dxa"/>
            <w:tcBorders>
              <w:top w:val="nil"/>
              <w:left w:val="single" w:sz="4" w:space="0" w:color="auto"/>
              <w:bottom w:val="single" w:sz="4" w:space="0" w:color="auto"/>
              <w:right w:val="single" w:sz="4" w:space="0" w:color="auto"/>
            </w:tcBorders>
            <w:vAlign w:val="center"/>
            <w:hideMark/>
          </w:tcPr>
          <w:p w14:paraId="5211DEA8" w14:textId="77777777" w:rsidR="00EC7A1F" w:rsidRPr="00EC7A1F" w:rsidRDefault="00EC7A1F" w:rsidP="00EC7A1F">
            <w:pPr>
              <w:spacing w:after="0" w:line="240" w:lineRule="auto"/>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Latgale</w:t>
            </w:r>
          </w:p>
        </w:tc>
        <w:tc>
          <w:tcPr>
            <w:tcW w:w="1985" w:type="dxa"/>
            <w:tcBorders>
              <w:top w:val="nil"/>
              <w:left w:val="nil"/>
              <w:bottom w:val="single" w:sz="4" w:space="0" w:color="auto"/>
              <w:right w:val="single" w:sz="4" w:space="0" w:color="auto"/>
            </w:tcBorders>
            <w:vAlign w:val="center"/>
            <w:hideMark/>
          </w:tcPr>
          <w:p w14:paraId="1297B471"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136</w:t>
            </w:r>
          </w:p>
        </w:tc>
        <w:tc>
          <w:tcPr>
            <w:tcW w:w="1984" w:type="dxa"/>
            <w:tcBorders>
              <w:top w:val="nil"/>
              <w:left w:val="nil"/>
              <w:bottom w:val="single" w:sz="4" w:space="0" w:color="auto"/>
              <w:right w:val="single" w:sz="4" w:space="0" w:color="auto"/>
            </w:tcBorders>
            <w:vAlign w:val="center"/>
            <w:hideMark/>
          </w:tcPr>
          <w:p w14:paraId="60F20B9F"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136</w:t>
            </w:r>
          </w:p>
        </w:tc>
        <w:tc>
          <w:tcPr>
            <w:tcW w:w="1985" w:type="dxa"/>
            <w:tcBorders>
              <w:top w:val="nil"/>
              <w:left w:val="nil"/>
              <w:bottom w:val="single" w:sz="4" w:space="0" w:color="auto"/>
              <w:right w:val="single" w:sz="4" w:space="0" w:color="auto"/>
            </w:tcBorders>
            <w:vAlign w:val="center"/>
            <w:hideMark/>
          </w:tcPr>
          <w:p w14:paraId="40B4B1EC" w14:textId="77777777" w:rsidR="00EC7A1F" w:rsidRPr="00EC7A1F" w:rsidRDefault="00EC7A1F" w:rsidP="00EC7A1F">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EC7A1F">
              <w:rPr>
                <w:rFonts w:ascii="Times New Roman" w:eastAsia="Times New Roman" w:hAnsi="Times New Roman" w:cs="Times New Roman"/>
                <w:b/>
                <w:bCs/>
                <w:color w:val="000000"/>
                <w:kern w:val="0"/>
                <w:sz w:val="20"/>
                <w:szCs w:val="20"/>
                <w:lang w:eastAsia="lv-LV"/>
                <w14:ligatures w14:val="none"/>
              </w:rPr>
              <w:t>272</w:t>
            </w:r>
          </w:p>
        </w:tc>
      </w:tr>
      <w:tr w:rsidR="00EC7A1F" w:rsidRPr="00EC7A1F" w14:paraId="50784E40" w14:textId="77777777" w:rsidTr="006352FE">
        <w:trPr>
          <w:trHeight w:val="260"/>
        </w:trPr>
        <w:tc>
          <w:tcPr>
            <w:tcW w:w="1984" w:type="dxa"/>
            <w:tcBorders>
              <w:top w:val="nil"/>
              <w:left w:val="single" w:sz="4" w:space="0" w:color="auto"/>
              <w:bottom w:val="single" w:sz="4" w:space="0" w:color="auto"/>
              <w:right w:val="single" w:sz="4" w:space="0" w:color="auto"/>
            </w:tcBorders>
            <w:vAlign w:val="center"/>
            <w:hideMark/>
          </w:tcPr>
          <w:p w14:paraId="658B2206" w14:textId="77777777" w:rsidR="00EC7A1F" w:rsidRPr="00EC7A1F" w:rsidRDefault="00EC7A1F" w:rsidP="00EC7A1F">
            <w:pPr>
              <w:spacing w:after="0" w:line="240" w:lineRule="auto"/>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Vidzeme</w:t>
            </w:r>
          </w:p>
        </w:tc>
        <w:tc>
          <w:tcPr>
            <w:tcW w:w="1985" w:type="dxa"/>
            <w:tcBorders>
              <w:top w:val="nil"/>
              <w:left w:val="nil"/>
              <w:bottom w:val="single" w:sz="4" w:space="0" w:color="auto"/>
              <w:right w:val="single" w:sz="4" w:space="0" w:color="auto"/>
            </w:tcBorders>
            <w:vAlign w:val="center"/>
            <w:hideMark/>
          </w:tcPr>
          <w:p w14:paraId="25A52902"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282</w:t>
            </w:r>
          </w:p>
        </w:tc>
        <w:tc>
          <w:tcPr>
            <w:tcW w:w="1984" w:type="dxa"/>
            <w:tcBorders>
              <w:top w:val="nil"/>
              <w:left w:val="nil"/>
              <w:bottom w:val="single" w:sz="4" w:space="0" w:color="auto"/>
              <w:right w:val="single" w:sz="4" w:space="0" w:color="auto"/>
            </w:tcBorders>
            <w:vAlign w:val="center"/>
            <w:hideMark/>
          </w:tcPr>
          <w:p w14:paraId="4C22E99F"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282</w:t>
            </w:r>
          </w:p>
        </w:tc>
        <w:tc>
          <w:tcPr>
            <w:tcW w:w="1985" w:type="dxa"/>
            <w:tcBorders>
              <w:top w:val="nil"/>
              <w:left w:val="nil"/>
              <w:bottom w:val="single" w:sz="4" w:space="0" w:color="auto"/>
              <w:right w:val="single" w:sz="4" w:space="0" w:color="auto"/>
            </w:tcBorders>
            <w:vAlign w:val="center"/>
            <w:hideMark/>
          </w:tcPr>
          <w:p w14:paraId="726965EE" w14:textId="77777777" w:rsidR="00EC7A1F" w:rsidRPr="00EC7A1F" w:rsidRDefault="00EC7A1F" w:rsidP="00EC7A1F">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EC7A1F">
              <w:rPr>
                <w:rFonts w:ascii="Times New Roman" w:eastAsia="Times New Roman" w:hAnsi="Times New Roman" w:cs="Times New Roman"/>
                <w:b/>
                <w:bCs/>
                <w:color w:val="000000"/>
                <w:kern w:val="0"/>
                <w:sz w:val="20"/>
                <w:szCs w:val="20"/>
                <w:lang w:eastAsia="lv-LV"/>
                <w14:ligatures w14:val="none"/>
              </w:rPr>
              <w:t>564</w:t>
            </w:r>
          </w:p>
        </w:tc>
      </w:tr>
      <w:tr w:rsidR="00EC7A1F" w:rsidRPr="00EC7A1F" w14:paraId="1827C102" w14:textId="77777777" w:rsidTr="006352FE">
        <w:trPr>
          <w:trHeight w:val="260"/>
        </w:trPr>
        <w:tc>
          <w:tcPr>
            <w:tcW w:w="1984" w:type="dxa"/>
            <w:tcBorders>
              <w:top w:val="nil"/>
              <w:left w:val="single" w:sz="4" w:space="0" w:color="auto"/>
              <w:bottom w:val="single" w:sz="4" w:space="0" w:color="auto"/>
              <w:right w:val="single" w:sz="4" w:space="0" w:color="auto"/>
            </w:tcBorders>
            <w:vAlign w:val="center"/>
            <w:hideMark/>
          </w:tcPr>
          <w:p w14:paraId="325ED195" w14:textId="77777777" w:rsidR="00EC7A1F" w:rsidRPr="00EC7A1F" w:rsidRDefault="00EC7A1F" w:rsidP="00EC7A1F">
            <w:pPr>
              <w:spacing w:after="0" w:line="240" w:lineRule="auto"/>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Zemgale</w:t>
            </w:r>
          </w:p>
        </w:tc>
        <w:tc>
          <w:tcPr>
            <w:tcW w:w="1985" w:type="dxa"/>
            <w:tcBorders>
              <w:top w:val="nil"/>
              <w:left w:val="nil"/>
              <w:bottom w:val="single" w:sz="4" w:space="0" w:color="auto"/>
              <w:right w:val="single" w:sz="4" w:space="0" w:color="auto"/>
            </w:tcBorders>
            <w:vAlign w:val="center"/>
            <w:hideMark/>
          </w:tcPr>
          <w:p w14:paraId="7A9AFCEB"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298</w:t>
            </w:r>
          </w:p>
        </w:tc>
        <w:tc>
          <w:tcPr>
            <w:tcW w:w="1984" w:type="dxa"/>
            <w:tcBorders>
              <w:top w:val="nil"/>
              <w:left w:val="nil"/>
              <w:bottom w:val="single" w:sz="4" w:space="0" w:color="auto"/>
              <w:right w:val="single" w:sz="4" w:space="0" w:color="auto"/>
            </w:tcBorders>
            <w:vAlign w:val="center"/>
            <w:hideMark/>
          </w:tcPr>
          <w:p w14:paraId="26E5C1A1" w14:textId="77777777" w:rsidR="00EC7A1F" w:rsidRPr="00EC7A1F" w:rsidRDefault="00EC7A1F" w:rsidP="00EC7A1F">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EC7A1F">
              <w:rPr>
                <w:rFonts w:ascii="Times New Roman" w:eastAsia="Times New Roman" w:hAnsi="Times New Roman" w:cs="Times New Roman"/>
                <w:color w:val="000000"/>
                <w:kern w:val="0"/>
                <w:sz w:val="20"/>
                <w:szCs w:val="20"/>
                <w:lang w:eastAsia="lv-LV"/>
                <w14:ligatures w14:val="none"/>
              </w:rPr>
              <w:t>298</w:t>
            </w:r>
          </w:p>
        </w:tc>
        <w:tc>
          <w:tcPr>
            <w:tcW w:w="1985" w:type="dxa"/>
            <w:tcBorders>
              <w:top w:val="nil"/>
              <w:left w:val="nil"/>
              <w:bottom w:val="single" w:sz="4" w:space="0" w:color="auto"/>
              <w:right w:val="single" w:sz="4" w:space="0" w:color="auto"/>
            </w:tcBorders>
            <w:vAlign w:val="center"/>
            <w:hideMark/>
          </w:tcPr>
          <w:p w14:paraId="5741F383" w14:textId="77777777" w:rsidR="00EC7A1F" w:rsidRPr="00EC7A1F" w:rsidRDefault="00EC7A1F" w:rsidP="00EC7A1F">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EC7A1F">
              <w:rPr>
                <w:rFonts w:ascii="Times New Roman" w:eastAsia="Times New Roman" w:hAnsi="Times New Roman" w:cs="Times New Roman"/>
                <w:b/>
                <w:bCs/>
                <w:color w:val="000000"/>
                <w:kern w:val="0"/>
                <w:sz w:val="20"/>
                <w:szCs w:val="20"/>
                <w:lang w:eastAsia="lv-LV"/>
                <w14:ligatures w14:val="none"/>
              </w:rPr>
              <w:t>596</w:t>
            </w:r>
          </w:p>
        </w:tc>
      </w:tr>
      <w:tr w:rsidR="00EC7A1F" w:rsidRPr="00EC7A1F" w14:paraId="2220C59F" w14:textId="77777777" w:rsidTr="006352FE">
        <w:trPr>
          <w:trHeight w:val="260"/>
        </w:trPr>
        <w:tc>
          <w:tcPr>
            <w:tcW w:w="1984" w:type="dxa"/>
            <w:tcBorders>
              <w:top w:val="nil"/>
              <w:left w:val="single" w:sz="4" w:space="0" w:color="auto"/>
              <w:bottom w:val="single" w:sz="4" w:space="0" w:color="auto"/>
              <w:right w:val="single" w:sz="4" w:space="0" w:color="auto"/>
            </w:tcBorders>
            <w:vAlign w:val="center"/>
            <w:hideMark/>
          </w:tcPr>
          <w:p w14:paraId="48242A17" w14:textId="77777777" w:rsidR="00EC7A1F" w:rsidRPr="00EC7A1F" w:rsidRDefault="00EC7A1F" w:rsidP="00EC7A1F">
            <w:pPr>
              <w:spacing w:after="0" w:line="240" w:lineRule="auto"/>
              <w:rPr>
                <w:rFonts w:ascii="Times New Roman" w:eastAsia="Times New Roman" w:hAnsi="Times New Roman" w:cs="Times New Roman"/>
                <w:b/>
                <w:bCs/>
                <w:color w:val="000000"/>
                <w:kern w:val="0"/>
                <w:sz w:val="20"/>
                <w:szCs w:val="20"/>
                <w:lang w:eastAsia="lv-LV"/>
                <w14:ligatures w14:val="none"/>
              </w:rPr>
            </w:pPr>
            <w:r w:rsidRPr="00EC7A1F">
              <w:rPr>
                <w:rFonts w:ascii="Times New Roman" w:eastAsia="Times New Roman" w:hAnsi="Times New Roman" w:cs="Times New Roman"/>
                <w:b/>
                <w:bCs/>
                <w:color w:val="000000"/>
                <w:kern w:val="0"/>
                <w:sz w:val="20"/>
                <w:szCs w:val="20"/>
                <w:lang w:eastAsia="lv-LV"/>
                <w14:ligatures w14:val="none"/>
              </w:rPr>
              <w:t>KOPĀ</w:t>
            </w:r>
          </w:p>
        </w:tc>
        <w:tc>
          <w:tcPr>
            <w:tcW w:w="1985" w:type="dxa"/>
            <w:tcBorders>
              <w:top w:val="nil"/>
              <w:left w:val="nil"/>
              <w:bottom w:val="single" w:sz="4" w:space="0" w:color="auto"/>
              <w:right w:val="single" w:sz="4" w:space="0" w:color="auto"/>
            </w:tcBorders>
            <w:vAlign w:val="center"/>
            <w:hideMark/>
          </w:tcPr>
          <w:p w14:paraId="2E6F8F52" w14:textId="77777777" w:rsidR="00EC7A1F" w:rsidRPr="00EC7A1F" w:rsidRDefault="00EC7A1F" w:rsidP="00EC7A1F">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EC7A1F">
              <w:rPr>
                <w:rFonts w:ascii="Times New Roman" w:eastAsia="Times New Roman" w:hAnsi="Times New Roman" w:cs="Times New Roman"/>
                <w:b/>
                <w:bCs/>
                <w:color w:val="000000"/>
                <w:kern w:val="0"/>
                <w:sz w:val="20"/>
                <w:szCs w:val="20"/>
                <w:lang w:eastAsia="lv-LV"/>
                <w14:ligatures w14:val="none"/>
              </w:rPr>
              <w:t>976</w:t>
            </w:r>
          </w:p>
        </w:tc>
        <w:tc>
          <w:tcPr>
            <w:tcW w:w="1984" w:type="dxa"/>
            <w:tcBorders>
              <w:top w:val="nil"/>
              <w:left w:val="nil"/>
              <w:bottom w:val="single" w:sz="4" w:space="0" w:color="auto"/>
              <w:right w:val="single" w:sz="4" w:space="0" w:color="auto"/>
            </w:tcBorders>
            <w:vAlign w:val="center"/>
            <w:hideMark/>
          </w:tcPr>
          <w:p w14:paraId="08DA03E6" w14:textId="77777777" w:rsidR="00EC7A1F" w:rsidRPr="00EC7A1F" w:rsidRDefault="00EC7A1F" w:rsidP="00EC7A1F">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EC7A1F">
              <w:rPr>
                <w:rFonts w:ascii="Times New Roman" w:eastAsia="Times New Roman" w:hAnsi="Times New Roman" w:cs="Times New Roman"/>
                <w:b/>
                <w:bCs/>
                <w:color w:val="000000"/>
                <w:kern w:val="0"/>
                <w:sz w:val="20"/>
                <w:szCs w:val="20"/>
                <w:lang w:eastAsia="lv-LV"/>
                <w14:ligatures w14:val="none"/>
              </w:rPr>
              <w:t>976</w:t>
            </w:r>
          </w:p>
        </w:tc>
        <w:tc>
          <w:tcPr>
            <w:tcW w:w="1985" w:type="dxa"/>
            <w:tcBorders>
              <w:top w:val="nil"/>
              <w:left w:val="nil"/>
              <w:bottom w:val="single" w:sz="4" w:space="0" w:color="auto"/>
              <w:right w:val="single" w:sz="4" w:space="0" w:color="auto"/>
            </w:tcBorders>
            <w:vAlign w:val="center"/>
            <w:hideMark/>
          </w:tcPr>
          <w:p w14:paraId="2ED4507E" w14:textId="77777777" w:rsidR="00EC7A1F" w:rsidRPr="00EC7A1F" w:rsidRDefault="00EC7A1F" w:rsidP="00EC7A1F">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EC7A1F">
              <w:rPr>
                <w:rFonts w:ascii="Times New Roman" w:eastAsia="Times New Roman" w:hAnsi="Times New Roman" w:cs="Times New Roman"/>
                <w:b/>
                <w:bCs/>
                <w:color w:val="000000"/>
                <w:kern w:val="0"/>
                <w:sz w:val="20"/>
                <w:szCs w:val="20"/>
                <w:lang w:eastAsia="lv-LV"/>
                <w14:ligatures w14:val="none"/>
              </w:rPr>
              <w:t>1 952</w:t>
            </w:r>
          </w:p>
        </w:tc>
      </w:tr>
    </w:tbl>
    <w:p w14:paraId="244D80B3" w14:textId="77777777" w:rsidR="00EC7A1F" w:rsidRDefault="00EC7A1F" w:rsidP="00AA3AF9">
      <w:pPr>
        <w:spacing w:after="0"/>
        <w:ind w:firstLine="851"/>
        <w:jc w:val="both"/>
        <w:rPr>
          <w:rFonts w:ascii="Times New Roman" w:hAnsi="Times New Roman" w:cs="Times New Roman"/>
          <w:sz w:val="24"/>
          <w:szCs w:val="24"/>
        </w:rPr>
      </w:pPr>
    </w:p>
    <w:p w14:paraId="19EBF1D0" w14:textId="07B5E12B" w:rsidR="00EC7A1F" w:rsidRPr="00EC7A1F" w:rsidRDefault="00EC7A1F" w:rsidP="002565D1">
      <w:pPr>
        <w:spacing w:after="0"/>
        <w:ind w:firstLine="426"/>
        <w:jc w:val="both"/>
        <w:rPr>
          <w:rFonts w:ascii="Times New Roman" w:hAnsi="Times New Roman" w:cs="Times New Roman"/>
          <w:sz w:val="24"/>
          <w:szCs w:val="24"/>
        </w:rPr>
      </w:pPr>
      <w:r>
        <w:rPr>
          <w:rFonts w:ascii="Times New Roman" w:hAnsi="Times New Roman" w:cs="Times New Roman"/>
          <w:sz w:val="24"/>
          <w:szCs w:val="24"/>
        </w:rPr>
        <w:t>Ārstniecības iestādei Pilotprojekta ietvaros jānodrošina</w:t>
      </w:r>
      <w:r w:rsidRPr="00EC7A1F">
        <w:rPr>
          <w:rFonts w:ascii="Times New Roman" w:hAnsi="Times New Roman" w:cs="Times New Roman"/>
          <w:sz w:val="24"/>
          <w:szCs w:val="24"/>
        </w:rPr>
        <w:t>:</w:t>
      </w:r>
    </w:p>
    <w:p w14:paraId="0BA86D51" w14:textId="5AE6E1BD" w:rsidR="00EC7A1F" w:rsidRPr="00EC7A1F" w:rsidRDefault="00EC7A1F" w:rsidP="00EC7A1F">
      <w:pPr>
        <w:pStyle w:val="ListParagraph"/>
        <w:numPr>
          <w:ilvl w:val="0"/>
          <w:numId w:val="2"/>
        </w:numPr>
        <w:spacing w:after="0"/>
        <w:jc w:val="both"/>
        <w:rPr>
          <w:rFonts w:ascii="Times New Roman" w:hAnsi="Times New Roman" w:cs="Times New Roman"/>
          <w:sz w:val="24"/>
          <w:szCs w:val="24"/>
        </w:rPr>
      </w:pPr>
      <w:r w:rsidRPr="00EC7A1F">
        <w:rPr>
          <w:rFonts w:ascii="Times New Roman" w:hAnsi="Times New Roman" w:cs="Times New Roman"/>
          <w:sz w:val="24"/>
          <w:szCs w:val="24"/>
        </w:rPr>
        <w:t>ka pakalpojumu sniedz sertificēts oftalmologs;</w:t>
      </w:r>
    </w:p>
    <w:p w14:paraId="3948B631" w14:textId="77777777" w:rsidR="002565D1" w:rsidRDefault="00EC7A1F" w:rsidP="002565D1">
      <w:pPr>
        <w:pStyle w:val="ListParagraph"/>
        <w:numPr>
          <w:ilvl w:val="0"/>
          <w:numId w:val="2"/>
        </w:numPr>
        <w:spacing w:after="0"/>
        <w:jc w:val="both"/>
        <w:rPr>
          <w:rFonts w:ascii="Times New Roman" w:hAnsi="Times New Roman" w:cs="Times New Roman"/>
          <w:sz w:val="24"/>
          <w:szCs w:val="24"/>
        </w:rPr>
      </w:pPr>
      <w:r w:rsidRPr="002565D1">
        <w:rPr>
          <w:rFonts w:ascii="Times New Roman" w:hAnsi="Times New Roman" w:cs="Times New Roman"/>
          <w:sz w:val="24"/>
          <w:szCs w:val="24"/>
        </w:rPr>
        <w:t>ka pakalpojuma sniegšanā iesaistītās ārstniecības personas ir reģistrētas Ārstniecības personu un ārstniecības atbalsta personu reģistrā attiecīgajā specialitātē</w:t>
      </w:r>
      <w:r w:rsidR="002565D1">
        <w:rPr>
          <w:rFonts w:ascii="Times New Roman" w:hAnsi="Times New Roman" w:cs="Times New Roman"/>
          <w:sz w:val="24"/>
          <w:szCs w:val="24"/>
        </w:rPr>
        <w:t>;</w:t>
      </w:r>
    </w:p>
    <w:p w14:paraId="2F0E9E92" w14:textId="180D4F98" w:rsidR="002565D1" w:rsidRPr="002565D1" w:rsidRDefault="00F55A5B" w:rsidP="002565D1">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w:t>
      </w:r>
      <w:r w:rsidR="002565D1" w:rsidRPr="002565D1">
        <w:rPr>
          <w:rFonts w:ascii="Times New Roman" w:hAnsi="Times New Roman" w:cs="Times New Roman"/>
          <w:sz w:val="24"/>
          <w:szCs w:val="24"/>
        </w:rPr>
        <w:t>akalpojumus atbilstoši normatīvajiem aktiem bērniem</w:t>
      </w:r>
      <w:r>
        <w:rPr>
          <w:rFonts w:ascii="Times New Roman" w:hAnsi="Times New Roman" w:cs="Times New Roman"/>
          <w:sz w:val="24"/>
          <w:szCs w:val="24"/>
        </w:rPr>
        <w:t xml:space="preserve"> (turpmāk – persona)</w:t>
      </w:r>
      <w:r w:rsidR="002565D1" w:rsidRPr="002565D1">
        <w:rPr>
          <w:rFonts w:ascii="Times New Roman" w:hAnsi="Times New Roman" w:cs="Times New Roman"/>
          <w:sz w:val="24"/>
          <w:szCs w:val="24"/>
        </w:rPr>
        <w:t xml:space="preserve">, kurai saskaņā ar Ministru kabineta 2018. gada 28. augusta noteikumu Nr. 555 “Veselības aprūpes pakalpojumu organizēšanas un samaksas kārtība” 4.11.1.1. punktu identificēta vismaz viena no saslimšanas diagnozēm: </w:t>
      </w:r>
    </w:p>
    <w:p w14:paraId="5EE61F4E"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lastRenderedPageBreak/>
        <w:t>augstas pakāpes iedzimta miopija (virs 5,0 Dsph);</w:t>
      </w:r>
    </w:p>
    <w:p w14:paraId="3D4BCC20"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augstas pakāpes hipermetropija (virs 4,0 Dsph);</w:t>
      </w:r>
    </w:p>
    <w:p w14:paraId="1FE2CAD5"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augstas pakāpes astigmātisms (virs 1,0 D);</w:t>
      </w:r>
    </w:p>
    <w:p w14:paraId="5A8C13BC"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augstas pakāpes anizometropija (virs 2,0 D);</w:t>
      </w:r>
    </w:p>
    <w:p w14:paraId="4ADE02A4"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afakija iedzimtas vai iegūtas kataraktas gadījumā vienai vai abām acīm;</w:t>
      </w:r>
    </w:p>
    <w:p w14:paraId="42182445"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iegūta tuvredzība (virs 7,0 Dsph);</w:t>
      </w:r>
    </w:p>
    <w:p w14:paraId="33344AFA"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keratokonuss;</w:t>
      </w:r>
    </w:p>
    <w:p w14:paraId="782D1F79"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akomodācijas šķielēšana;</w:t>
      </w:r>
    </w:p>
    <w:p w14:paraId="761D702C"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 xml:space="preserve">parēze (bifokālās briļļu lēcas), albīnisms, </w:t>
      </w:r>
    </w:p>
    <w:p w14:paraId="626534B4"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ar objektīvām izmeklēšanas metodēm pierādīta iedzimta tīklenes distrofija ar fotofobiju (fotohromās briļļu lēcas)</w:t>
      </w:r>
    </w:p>
    <w:p w14:paraId="5FA3CCCF"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radzenes rētas;</w:t>
      </w:r>
    </w:p>
    <w:p w14:paraId="29F4FEDC" w14:textId="77777777" w:rsidR="002565D1" w:rsidRPr="002565D1"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apduļķojumi (kosmētisko kontaktlēcu protēzes);</w:t>
      </w:r>
    </w:p>
    <w:p w14:paraId="547DC9B7" w14:textId="04C16572" w:rsidR="00EC7A1F" w:rsidRDefault="002565D1" w:rsidP="002565D1">
      <w:pPr>
        <w:pStyle w:val="ListParagraph"/>
        <w:numPr>
          <w:ilvl w:val="0"/>
          <w:numId w:val="3"/>
        </w:numPr>
        <w:tabs>
          <w:tab w:val="left" w:pos="1134"/>
        </w:tabs>
        <w:spacing w:after="0"/>
        <w:ind w:left="1276" w:hanging="294"/>
        <w:jc w:val="both"/>
        <w:rPr>
          <w:rFonts w:ascii="Times New Roman" w:hAnsi="Times New Roman" w:cs="Times New Roman"/>
          <w:sz w:val="24"/>
          <w:szCs w:val="24"/>
        </w:rPr>
      </w:pPr>
      <w:r w:rsidRPr="002565D1">
        <w:rPr>
          <w:rFonts w:ascii="Times New Roman" w:hAnsi="Times New Roman" w:cs="Times New Roman"/>
          <w:sz w:val="24"/>
          <w:szCs w:val="24"/>
        </w:rPr>
        <w:t>III–IV pakāpes vājredzība neatkarīgi no refrakcijas anomālijas pakāpes.</w:t>
      </w:r>
    </w:p>
    <w:p w14:paraId="35465A0F" w14:textId="77777777" w:rsidR="002565D1" w:rsidRPr="002565D1" w:rsidRDefault="002565D1" w:rsidP="002565D1">
      <w:pPr>
        <w:pStyle w:val="ListParagraph"/>
        <w:spacing w:after="0"/>
        <w:jc w:val="both"/>
        <w:rPr>
          <w:rFonts w:ascii="Times New Roman" w:hAnsi="Times New Roman" w:cs="Times New Roman"/>
          <w:sz w:val="24"/>
          <w:szCs w:val="24"/>
        </w:rPr>
      </w:pPr>
    </w:p>
    <w:p w14:paraId="15DBAC33" w14:textId="77777777" w:rsidR="00B17321" w:rsidRDefault="00AA3AF9" w:rsidP="002565D1">
      <w:pPr>
        <w:tabs>
          <w:tab w:val="left" w:pos="426"/>
        </w:tabs>
        <w:spacing w:after="0"/>
        <w:jc w:val="both"/>
        <w:rPr>
          <w:rFonts w:ascii="Times New Roman" w:hAnsi="Times New Roman" w:cs="Times New Roman"/>
          <w:sz w:val="24"/>
          <w:szCs w:val="24"/>
        </w:rPr>
      </w:pPr>
      <w:r w:rsidRPr="00AA3AF9">
        <w:rPr>
          <w:rFonts w:ascii="Times New Roman" w:hAnsi="Times New Roman" w:cs="Times New Roman"/>
          <w:sz w:val="24"/>
          <w:szCs w:val="24"/>
        </w:rPr>
        <w:tab/>
      </w:r>
      <w:r w:rsidR="00F55A5B">
        <w:rPr>
          <w:rFonts w:ascii="Times New Roman" w:hAnsi="Times New Roman" w:cs="Times New Roman"/>
          <w:sz w:val="24"/>
          <w:szCs w:val="24"/>
        </w:rPr>
        <w:t xml:space="preserve">Atbilstoši iepriekš minētajam, </w:t>
      </w:r>
      <w:r w:rsidRPr="00AA3AF9">
        <w:rPr>
          <w:rFonts w:ascii="Times New Roman" w:hAnsi="Times New Roman" w:cs="Times New Roman"/>
          <w:sz w:val="24"/>
          <w:szCs w:val="24"/>
        </w:rPr>
        <w:t>Dienests lūdz</w:t>
      </w:r>
      <w:r w:rsidR="00F55A5B">
        <w:rPr>
          <w:rFonts w:ascii="Times New Roman" w:hAnsi="Times New Roman" w:cs="Times New Roman"/>
          <w:sz w:val="24"/>
          <w:szCs w:val="24"/>
        </w:rPr>
        <w:t>,</w:t>
      </w:r>
      <w:r w:rsidRPr="00AA3AF9">
        <w:rPr>
          <w:rFonts w:ascii="Times New Roman" w:hAnsi="Times New Roman" w:cs="Times New Roman"/>
          <w:sz w:val="24"/>
          <w:szCs w:val="24"/>
        </w:rPr>
        <w:t xml:space="preserve"> </w:t>
      </w:r>
      <w:r w:rsidR="00F55A5B">
        <w:rPr>
          <w:rFonts w:ascii="Times New Roman" w:hAnsi="Times New Roman" w:cs="Times New Roman"/>
          <w:sz w:val="24"/>
          <w:szCs w:val="24"/>
        </w:rPr>
        <w:t xml:space="preserve">līdz 2026. gada 10. jūnijam, </w:t>
      </w:r>
      <w:r w:rsidRPr="00AA3AF9">
        <w:rPr>
          <w:rFonts w:ascii="Times New Roman" w:hAnsi="Times New Roman" w:cs="Times New Roman"/>
          <w:sz w:val="24"/>
          <w:szCs w:val="24"/>
        </w:rPr>
        <w:t xml:space="preserve">iesniegt rakstveida </w:t>
      </w:r>
      <w:r w:rsidR="00F55A5B">
        <w:rPr>
          <w:rFonts w:ascii="Times New Roman" w:hAnsi="Times New Roman" w:cs="Times New Roman"/>
          <w:sz w:val="24"/>
          <w:szCs w:val="24"/>
        </w:rPr>
        <w:t>iesniegumu par dalību Pilotprojekta īstenošanā</w:t>
      </w:r>
      <w:r w:rsidR="00B17321">
        <w:rPr>
          <w:rFonts w:ascii="Times New Roman" w:hAnsi="Times New Roman" w:cs="Times New Roman"/>
          <w:sz w:val="24"/>
          <w:szCs w:val="24"/>
        </w:rPr>
        <w:t xml:space="preserve">. </w:t>
      </w:r>
    </w:p>
    <w:p w14:paraId="5183EC1F" w14:textId="77777777" w:rsidR="00B17321" w:rsidRDefault="00B17321" w:rsidP="00B17321">
      <w:pPr>
        <w:tabs>
          <w:tab w:val="left" w:pos="426"/>
        </w:tabs>
        <w:spacing w:after="0"/>
        <w:ind w:firstLine="426"/>
        <w:jc w:val="both"/>
        <w:rPr>
          <w:rFonts w:ascii="Times New Roman" w:hAnsi="Times New Roman" w:cs="Times New Roman"/>
          <w:sz w:val="24"/>
          <w:szCs w:val="24"/>
        </w:rPr>
      </w:pPr>
      <w:r>
        <w:rPr>
          <w:rFonts w:ascii="Times New Roman" w:hAnsi="Times New Roman" w:cs="Times New Roman"/>
          <w:sz w:val="24"/>
          <w:szCs w:val="24"/>
        </w:rPr>
        <w:t>Iesniegumā</w:t>
      </w:r>
      <w:r w:rsidR="00F55A5B">
        <w:rPr>
          <w:rFonts w:ascii="Times New Roman" w:hAnsi="Times New Roman" w:cs="Times New Roman"/>
          <w:sz w:val="24"/>
          <w:szCs w:val="24"/>
        </w:rPr>
        <w:t xml:space="preserve"> norādot</w:t>
      </w:r>
      <w:r>
        <w:rPr>
          <w:rFonts w:ascii="Times New Roman" w:hAnsi="Times New Roman" w:cs="Times New Roman"/>
          <w:sz w:val="24"/>
          <w:szCs w:val="24"/>
        </w:rPr>
        <w:t>:</w:t>
      </w:r>
    </w:p>
    <w:p w14:paraId="06212313" w14:textId="3EE85D5D" w:rsidR="00B17321" w:rsidRDefault="00283492" w:rsidP="00B17321">
      <w:pPr>
        <w:pStyle w:val="ListParagraph"/>
        <w:numPr>
          <w:ilvl w:val="0"/>
          <w:numId w:val="4"/>
        </w:numPr>
        <w:tabs>
          <w:tab w:val="left" w:pos="426"/>
        </w:tabs>
        <w:spacing w:after="0"/>
        <w:ind w:firstLine="426"/>
        <w:jc w:val="both"/>
        <w:rPr>
          <w:rFonts w:ascii="Times New Roman" w:hAnsi="Times New Roman" w:cs="Times New Roman"/>
          <w:sz w:val="24"/>
          <w:szCs w:val="24"/>
        </w:rPr>
      </w:pPr>
      <w:r>
        <w:rPr>
          <w:rFonts w:ascii="Times New Roman" w:hAnsi="Times New Roman" w:cs="Times New Roman"/>
          <w:sz w:val="24"/>
          <w:szCs w:val="24"/>
        </w:rPr>
        <w:t>t</w:t>
      </w:r>
      <w:r w:rsidRPr="00283492">
        <w:rPr>
          <w:rFonts w:ascii="Times New Roman" w:hAnsi="Times New Roman" w:cs="Times New Roman"/>
          <w:sz w:val="24"/>
          <w:szCs w:val="24"/>
        </w:rPr>
        <w:t xml:space="preserve">eritoriālo </w:t>
      </w:r>
      <w:r w:rsidR="00D06C90">
        <w:rPr>
          <w:rFonts w:ascii="Times New Roman" w:hAnsi="Times New Roman" w:cs="Times New Roman"/>
          <w:sz w:val="24"/>
          <w:szCs w:val="24"/>
        </w:rPr>
        <w:t>vienību</w:t>
      </w:r>
      <w:r>
        <w:rPr>
          <w:rFonts w:ascii="Times New Roman" w:hAnsi="Times New Roman" w:cs="Times New Roman"/>
          <w:sz w:val="24"/>
          <w:szCs w:val="24"/>
        </w:rPr>
        <w:t>, kurā</w:t>
      </w:r>
      <w:r w:rsidRPr="00283492">
        <w:rPr>
          <w:rFonts w:ascii="Times New Roman" w:hAnsi="Times New Roman" w:cs="Times New Roman"/>
          <w:sz w:val="24"/>
          <w:szCs w:val="24"/>
        </w:rPr>
        <w:t xml:space="preserve"> Ārstniecības iestāde</w:t>
      </w:r>
      <w:r>
        <w:rPr>
          <w:rFonts w:ascii="Times New Roman" w:hAnsi="Times New Roman" w:cs="Times New Roman"/>
          <w:sz w:val="24"/>
          <w:szCs w:val="24"/>
        </w:rPr>
        <w:t xml:space="preserve"> piesakās sniegt pakalpojumus pilotprojekta ietvaros;</w:t>
      </w:r>
    </w:p>
    <w:p w14:paraId="699B8F6B" w14:textId="181EC2DE" w:rsidR="00283492" w:rsidRPr="00283492" w:rsidRDefault="00283492" w:rsidP="00B17321">
      <w:pPr>
        <w:pStyle w:val="ListParagraph"/>
        <w:numPr>
          <w:ilvl w:val="0"/>
          <w:numId w:val="4"/>
        </w:numPr>
        <w:tabs>
          <w:tab w:val="left" w:pos="426"/>
        </w:tabs>
        <w:spacing w:after="0"/>
        <w:ind w:firstLine="426"/>
        <w:jc w:val="both"/>
        <w:rPr>
          <w:rFonts w:ascii="Times New Roman" w:hAnsi="Times New Roman" w:cs="Times New Roman"/>
          <w:sz w:val="24"/>
          <w:szCs w:val="24"/>
        </w:rPr>
      </w:pPr>
      <w:r>
        <w:rPr>
          <w:rFonts w:ascii="Times New Roman" w:hAnsi="Times New Roman" w:cs="Times New Roman"/>
          <w:sz w:val="24"/>
          <w:szCs w:val="24"/>
        </w:rPr>
        <w:t>pakalpojumu apjom</w:t>
      </w:r>
      <w:r w:rsidR="00D06C90">
        <w:rPr>
          <w:rFonts w:ascii="Times New Roman" w:hAnsi="Times New Roman" w:cs="Times New Roman"/>
          <w:sz w:val="24"/>
          <w:szCs w:val="24"/>
        </w:rPr>
        <w:t>u</w:t>
      </w:r>
      <w:r>
        <w:rPr>
          <w:rFonts w:ascii="Times New Roman" w:hAnsi="Times New Roman" w:cs="Times New Roman"/>
          <w:sz w:val="24"/>
          <w:szCs w:val="24"/>
        </w:rPr>
        <w:t xml:space="preserve"> (skait</w:t>
      </w:r>
      <w:r w:rsidR="00D06C90">
        <w:rPr>
          <w:rFonts w:ascii="Times New Roman" w:hAnsi="Times New Roman" w:cs="Times New Roman"/>
          <w:sz w:val="24"/>
          <w:szCs w:val="24"/>
        </w:rPr>
        <w:t>u</w:t>
      </w:r>
      <w:r>
        <w:rPr>
          <w:rFonts w:ascii="Times New Roman" w:hAnsi="Times New Roman" w:cs="Times New Roman"/>
          <w:sz w:val="24"/>
          <w:szCs w:val="24"/>
        </w:rPr>
        <w:t>), kuru Ārstniecības iestāde nodrošinās pilotprojekta ietvaros.</w:t>
      </w:r>
    </w:p>
    <w:p w14:paraId="68353C4D" w14:textId="77777777" w:rsidR="00AA3AF9" w:rsidRDefault="00AA3AF9" w:rsidP="00AA3AF9"/>
    <w:p w14:paraId="5D5733C8" w14:textId="77777777" w:rsidR="00AA3AF9" w:rsidRDefault="00AA3AF9" w:rsidP="00AA3AF9"/>
    <w:p w14:paraId="756A6961" w14:textId="77777777" w:rsidR="00AA3AF9" w:rsidRDefault="00AA3AF9" w:rsidP="00AA3AF9"/>
    <w:p w14:paraId="0E599365" w14:textId="77777777" w:rsidR="00AA3AF9" w:rsidRDefault="00AA3AF9" w:rsidP="00AA3AF9"/>
    <w:p w14:paraId="2B104319" w14:textId="77777777" w:rsidR="00C264F9" w:rsidRDefault="00C264F9"/>
    <w:sectPr w:rsidR="00C264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EEB"/>
    <w:multiLevelType w:val="hybridMultilevel"/>
    <w:tmpl w:val="16A87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2379AA"/>
    <w:multiLevelType w:val="hybridMultilevel"/>
    <w:tmpl w:val="B9DA9570"/>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1813D6"/>
    <w:multiLevelType w:val="hybridMultilevel"/>
    <w:tmpl w:val="9990ABAE"/>
    <w:lvl w:ilvl="0" w:tplc="60261C6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79C96456"/>
    <w:multiLevelType w:val="multilevel"/>
    <w:tmpl w:val="078E223A"/>
    <w:lvl w:ilvl="0">
      <w:start w:val="1"/>
      <w:numFmt w:val="decimal"/>
      <w:lvlText w:val="%1."/>
      <w:lvlJc w:val="left"/>
      <w:pPr>
        <w:ind w:left="720" w:hanging="360"/>
      </w:pPr>
      <w:rPr>
        <w:b w:val="0"/>
        <w:color w:val="000000"/>
      </w:rPr>
    </w:lvl>
    <w:lvl w:ilvl="1">
      <w:start w:val="1"/>
      <w:numFmt w:val="decima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03120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595641">
    <w:abstractNumId w:val="0"/>
  </w:num>
  <w:num w:numId="3" w16cid:durableId="1005978472">
    <w:abstractNumId w:val="1"/>
  </w:num>
  <w:num w:numId="4" w16cid:durableId="866258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9"/>
    <w:rsid w:val="00056A24"/>
    <w:rsid w:val="0014792A"/>
    <w:rsid w:val="00180C61"/>
    <w:rsid w:val="002565D1"/>
    <w:rsid w:val="00282C82"/>
    <w:rsid w:val="00283492"/>
    <w:rsid w:val="00431137"/>
    <w:rsid w:val="0047206B"/>
    <w:rsid w:val="00584F20"/>
    <w:rsid w:val="00664611"/>
    <w:rsid w:val="009C30A1"/>
    <w:rsid w:val="00AA3AF9"/>
    <w:rsid w:val="00B17321"/>
    <w:rsid w:val="00BD72F7"/>
    <w:rsid w:val="00C264F9"/>
    <w:rsid w:val="00C91A21"/>
    <w:rsid w:val="00D06C90"/>
    <w:rsid w:val="00EC7A1F"/>
    <w:rsid w:val="00F45058"/>
    <w:rsid w:val="00F55A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6104"/>
  <w15:chartTrackingRefBased/>
  <w15:docId w15:val="{B2BE25DC-A9C3-43B1-B3E4-54041D18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AF9"/>
    <w:rPr>
      <w:rFonts w:eastAsiaTheme="majorEastAsia" w:cstheme="majorBidi"/>
      <w:color w:val="272727" w:themeColor="text1" w:themeTint="D8"/>
    </w:rPr>
  </w:style>
  <w:style w:type="paragraph" w:styleId="Title">
    <w:name w:val="Title"/>
    <w:basedOn w:val="Normal"/>
    <w:next w:val="Normal"/>
    <w:link w:val="TitleChar"/>
    <w:uiPriority w:val="10"/>
    <w:qFormat/>
    <w:rsid w:val="00AA3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AF9"/>
    <w:pPr>
      <w:spacing w:before="160"/>
      <w:jc w:val="center"/>
    </w:pPr>
    <w:rPr>
      <w:i/>
      <w:iCs/>
      <w:color w:val="404040" w:themeColor="text1" w:themeTint="BF"/>
    </w:rPr>
  </w:style>
  <w:style w:type="character" w:customStyle="1" w:styleId="QuoteChar">
    <w:name w:val="Quote Char"/>
    <w:basedOn w:val="DefaultParagraphFont"/>
    <w:link w:val="Quote"/>
    <w:uiPriority w:val="29"/>
    <w:rsid w:val="00AA3AF9"/>
    <w:rPr>
      <w:i/>
      <w:iCs/>
      <w:color w:val="404040" w:themeColor="text1" w:themeTint="BF"/>
    </w:rPr>
  </w:style>
  <w:style w:type="paragraph" w:styleId="ListParagraph">
    <w:name w:val="List Paragraph"/>
    <w:basedOn w:val="Normal"/>
    <w:uiPriority w:val="34"/>
    <w:qFormat/>
    <w:rsid w:val="00AA3AF9"/>
    <w:pPr>
      <w:ind w:left="720"/>
      <w:contextualSpacing/>
    </w:pPr>
  </w:style>
  <w:style w:type="character" w:styleId="IntenseEmphasis">
    <w:name w:val="Intense Emphasis"/>
    <w:basedOn w:val="DefaultParagraphFont"/>
    <w:uiPriority w:val="21"/>
    <w:qFormat/>
    <w:rsid w:val="00AA3AF9"/>
    <w:rPr>
      <w:i/>
      <w:iCs/>
      <w:color w:val="0F4761" w:themeColor="accent1" w:themeShade="BF"/>
    </w:rPr>
  </w:style>
  <w:style w:type="paragraph" w:styleId="IntenseQuote">
    <w:name w:val="Intense Quote"/>
    <w:basedOn w:val="Normal"/>
    <w:next w:val="Normal"/>
    <w:link w:val="IntenseQuoteChar"/>
    <w:uiPriority w:val="30"/>
    <w:qFormat/>
    <w:rsid w:val="00AA3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AF9"/>
    <w:rPr>
      <w:i/>
      <w:iCs/>
      <w:color w:val="0F4761" w:themeColor="accent1" w:themeShade="BF"/>
    </w:rPr>
  </w:style>
  <w:style w:type="character" w:styleId="IntenseReference">
    <w:name w:val="Intense Reference"/>
    <w:basedOn w:val="DefaultParagraphFont"/>
    <w:uiPriority w:val="32"/>
    <w:qFormat/>
    <w:rsid w:val="00AA3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4931-B770-409C-BDB2-05ABED5F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1834</Words>
  <Characters>1046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Šteinberga</dc:creator>
  <cp:keywords/>
  <dc:description/>
  <cp:lastModifiedBy>Vineta Šteinberga</cp:lastModifiedBy>
  <cp:revision>5</cp:revision>
  <dcterms:created xsi:type="dcterms:W3CDTF">2026-05-19T11:46:00Z</dcterms:created>
  <dcterms:modified xsi:type="dcterms:W3CDTF">2026-05-25T11:28:00Z</dcterms:modified>
</cp:coreProperties>
</file>