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81577E" w14:textId="7756961F" w:rsidR="003B576E" w:rsidRPr="00013FC9" w:rsidRDefault="003B576E" w:rsidP="00D15666">
      <w:pPr>
        <w:pStyle w:val="NoSpacing"/>
        <w:tabs>
          <w:tab w:val="center" w:pos="4684"/>
          <w:tab w:val="left" w:pos="5295"/>
        </w:tabs>
        <w:rPr>
          <w:rFonts w:ascii="Times New Roman" w:hAnsi="Times New Roman"/>
          <w:lang w:val="lv-LV"/>
        </w:rPr>
      </w:pPr>
    </w:p>
    <w:p w14:paraId="6EE1475B" w14:textId="4FCA0AAA" w:rsidR="00445202" w:rsidRPr="00E62681" w:rsidRDefault="00180708" w:rsidP="00E62681">
      <w:pPr>
        <w:tabs>
          <w:tab w:val="left" w:pos="4155"/>
        </w:tabs>
        <w:spacing w:after="0"/>
      </w:pPr>
      <w:r w:rsidRPr="00013FC9">
        <w:tab/>
      </w:r>
    </w:p>
    <w:tbl>
      <w:tblPr>
        <w:tblW w:w="0" w:type="auto"/>
        <w:tblLook w:val="04A0" w:firstRow="1" w:lastRow="0" w:firstColumn="1" w:lastColumn="0" w:noHBand="0" w:noVBand="1"/>
      </w:tblPr>
      <w:tblGrid>
        <w:gridCol w:w="3823"/>
        <w:gridCol w:w="567"/>
        <w:gridCol w:w="4671"/>
      </w:tblGrid>
      <w:tr w:rsidR="00F35EB5" w:rsidRPr="00013FC9" w14:paraId="72B1A325" w14:textId="77777777" w:rsidTr="009E6ADC">
        <w:trPr>
          <w:gridBefore w:val="1"/>
          <w:wBefore w:w="3823" w:type="dxa"/>
        </w:trPr>
        <w:tc>
          <w:tcPr>
            <w:tcW w:w="5238" w:type="dxa"/>
            <w:gridSpan w:val="2"/>
          </w:tcPr>
          <w:p w14:paraId="69D9DACE" w14:textId="77777777" w:rsidR="00A65A9C" w:rsidRPr="00A65A9C" w:rsidRDefault="00A65A9C" w:rsidP="00A65A9C">
            <w:pPr>
              <w:pStyle w:val="Header"/>
              <w:tabs>
                <w:tab w:val="left" w:pos="720"/>
              </w:tabs>
              <w:jc w:val="right"/>
              <w:rPr>
                <w:rFonts w:ascii="Times New Roman" w:hAnsi="Times New Roman"/>
                <w:sz w:val="24"/>
                <w:szCs w:val="24"/>
              </w:rPr>
            </w:pPr>
            <w:r w:rsidRPr="00A65A9C">
              <w:rPr>
                <w:rFonts w:ascii="Times New Roman" w:hAnsi="Times New Roman"/>
                <w:sz w:val="24"/>
                <w:szCs w:val="24"/>
              </w:rPr>
              <w:t>Līgumpartneriem</w:t>
            </w:r>
          </w:p>
          <w:p w14:paraId="5FDCA8E2" w14:textId="65AC051F" w:rsidR="00C11F02" w:rsidRPr="00013FC9" w:rsidRDefault="00A65A9C" w:rsidP="00A65A9C">
            <w:pPr>
              <w:jc w:val="right"/>
              <w:rPr>
                <w:rFonts w:ascii="Times New Roman" w:hAnsi="Times New Roman"/>
                <w:sz w:val="24"/>
                <w:szCs w:val="24"/>
              </w:rPr>
            </w:pPr>
            <w:r w:rsidRPr="00A65A9C">
              <w:rPr>
                <w:rFonts w:ascii="Times New Roman" w:hAnsi="Times New Roman"/>
                <w:sz w:val="24"/>
                <w:szCs w:val="24"/>
              </w:rPr>
              <w:t>pēc adresātu saraksta</w:t>
            </w:r>
          </w:p>
          <w:p w14:paraId="2F47DB37" w14:textId="77777777" w:rsidR="00445202" w:rsidRPr="00013FC9" w:rsidRDefault="00445202" w:rsidP="008C2C26">
            <w:pPr>
              <w:pStyle w:val="Header"/>
              <w:tabs>
                <w:tab w:val="left" w:pos="720"/>
              </w:tabs>
              <w:jc w:val="right"/>
              <w:rPr>
                <w:rFonts w:ascii="Times New Roman" w:hAnsi="Times New Roman"/>
                <w:sz w:val="24"/>
                <w:szCs w:val="24"/>
              </w:rPr>
            </w:pPr>
          </w:p>
        </w:tc>
      </w:tr>
      <w:tr w:rsidR="00F35EB5" w:rsidRPr="00013FC9" w14:paraId="00AD4D31" w14:textId="77777777" w:rsidTr="009E6ADC">
        <w:trPr>
          <w:gridAfter w:val="1"/>
          <w:wAfter w:w="4671" w:type="dxa"/>
        </w:trPr>
        <w:tc>
          <w:tcPr>
            <w:tcW w:w="4390" w:type="dxa"/>
            <w:gridSpan w:val="2"/>
          </w:tcPr>
          <w:p w14:paraId="23CCBE4D" w14:textId="1F3B2F00" w:rsidR="00445202" w:rsidRPr="00013FC9" w:rsidRDefault="00180708" w:rsidP="008C2C26">
            <w:pPr>
              <w:pStyle w:val="Header"/>
              <w:tabs>
                <w:tab w:val="left" w:pos="720"/>
              </w:tabs>
              <w:rPr>
                <w:rFonts w:ascii="Times New Roman" w:hAnsi="Times New Roman"/>
                <w:sz w:val="24"/>
                <w:szCs w:val="24"/>
              </w:rPr>
            </w:pPr>
            <w:r w:rsidRPr="00013FC9">
              <w:rPr>
                <w:rFonts w:ascii="Times New Roman" w:hAnsi="Times New Roman"/>
                <w:sz w:val="24"/>
                <w:szCs w:val="24"/>
              </w:rPr>
              <w:t xml:space="preserve">Par </w:t>
            </w:r>
            <w:r w:rsidR="00F13E37" w:rsidRPr="00013FC9">
              <w:rPr>
                <w:rFonts w:ascii="Times New Roman" w:hAnsi="Times New Roman"/>
                <w:sz w:val="24"/>
                <w:szCs w:val="24"/>
              </w:rPr>
              <w:t>Z02 diagnozēm</w:t>
            </w:r>
          </w:p>
        </w:tc>
      </w:tr>
    </w:tbl>
    <w:p w14:paraId="137713A4" w14:textId="77777777" w:rsidR="00445202" w:rsidRPr="00013FC9" w:rsidRDefault="00445202" w:rsidP="009E6ADC">
      <w:pPr>
        <w:pStyle w:val="Header"/>
        <w:tabs>
          <w:tab w:val="left" w:pos="720"/>
        </w:tabs>
        <w:jc w:val="both"/>
        <w:rPr>
          <w:rFonts w:ascii="Times New Roman" w:hAnsi="Times New Roman"/>
          <w:sz w:val="24"/>
          <w:szCs w:val="24"/>
        </w:rPr>
      </w:pPr>
    </w:p>
    <w:p w14:paraId="7C9361ED" w14:textId="1C0D6104" w:rsidR="007B7812" w:rsidRDefault="00C11F02" w:rsidP="0E9F6D61">
      <w:pPr>
        <w:spacing w:after="0" w:line="240" w:lineRule="auto"/>
        <w:ind w:firstLine="720"/>
        <w:jc w:val="both"/>
        <w:rPr>
          <w:rFonts w:ascii="Times New Roman" w:eastAsia="Times New Roman" w:hAnsi="Times New Roman"/>
          <w:sz w:val="24"/>
          <w:szCs w:val="24"/>
        </w:rPr>
      </w:pPr>
      <w:r w:rsidRPr="0E9F6D61">
        <w:rPr>
          <w:rFonts w:ascii="Times New Roman" w:eastAsia="Times New Roman" w:hAnsi="Times New Roman"/>
          <w:sz w:val="24"/>
          <w:szCs w:val="24"/>
        </w:rPr>
        <w:t>Nacionālais veselības dienests (turpmāk – Dienests) ir veselības ministra pārraudzībā esoša institūcija, kura Veselības aprūpes finansēšanas likuma izpildes nodrošināšanai administrē veselības aprūpei paredzētos valsts budžeta līdzekļus, uzrauga Dienesta administrēšanā nodoto valsts budžeta līdzekļu izlietojumu ārstniecības iestādēs</w:t>
      </w:r>
      <w:r w:rsidRPr="0E9F6D61">
        <w:rPr>
          <w:rFonts w:ascii="Times New Roman" w:eastAsia="Times New Roman" w:hAnsi="Times New Roman"/>
          <w:sz w:val="24"/>
          <w:szCs w:val="24"/>
          <w:vertAlign w:val="superscript"/>
        </w:rPr>
        <w:footnoteReference w:id="1"/>
      </w:r>
      <w:r w:rsidRPr="0E9F6D61">
        <w:rPr>
          <w:rFonts w:ascii="Times New Roman" w:eastAsia="Times New Roman" w:hAnsi="Times New Roman"/>
          <w:sz w:val="24"/>
          <w:szCs w:val="24"/>
        </w:rPr>
        <w:t xml:space="preserve"> un pārbauda</w:t>
      </w:r>
      <w:r w:rsidRPr="0E9F6D61">
        <w:rPr>
          <w:rFonts w:ascii="Times New Roman" w:eastAsia="Times New Roman" w:hAnsi="Times New Roman"/>
          <w:sz w:val="24"/>
          <w:szCs w:val="24"/>
          <w:vertAlign w:val="superscript"/>
        </w:rPr>
        <w:footnoteReference w:id="2"/>
      </w:r>
      <w:r w:rsidRPr="0E9F6D61">
        <w:rPr>
          <w:rFonts w:ascii="Times New Roman" w:eastAsia="Times New Roman" w:hAnsi="Times New Roman"/>
          <w:sz w:val="24"/>
          <w:szCs w:val="24"/>
        </w:rPr>
        <w:t xml:space="preserve"> no valsts budžeta apmaksāto veselības aprūpes pakalpojumu saņemšanas iespējas, to sniegšanas pamatotību un atbilstību</w:t>
      </w:r>
      <w:r w:rsidR="007B7812" w:rsidRPr="0E9F6D61">
        <w:rPr>
          <w:rFonts w:ascii="Times New Roman" w:eastAsia="Times New Roman" w:hAnsi="Times New Roman"/>
          <w:sz w:val="24"/>
          <w:szCs w:val="24"/>
        </w:rPr>
        <w:t xml:space="preserve"> līgumam ar</w:t>
      </w:r>
      <w:r w:rsidRPr="0E9F6D61">
        <w:rPr>
          <w:rFonts w:ascii="Times New Roman" w:eastAsia="Times New Roman" w:hAnsi="Times New Roman"/>
          <w:sz w:val="24"/>
          <w:szCs w:val="24"/>
          <w:vertAlign w:val="superscript"/>
        </w:rPr>
        <w:t xml:space="preserve"> </w:t>
      </w:r>
      <w:r w:rsidRPr="0E9F6D61">
        <w:rPr>
          <w:rFonts w:ascii="Times New Roman" w:eastAsia="Times New Roman" w:hAnsi="Times New Roman"/>
          <w:sz w:val="24"/>
          <w:szCs w:val="24"/>
        </w:rPr>
        <w:t>Dienest</w:t>
      </w:r>
      <w:r w:rsidR="007B7812" w:rsidRPr="0E9F6D61">
        <w:rPr>
          <w:rFonts w:ascii="Times New Roman" w:eastAsia="Times New Roman" w:hAnsi="Times New Roman"/>
          <w:sz w:val="24"/>
          <w:szCs w:val="24"/>
        </w:rPr>
        <w:t>u.</w:t>
      </w:r>
      <w:r w:rsidRPr="0E9F6D61">
        <w:rPr>
          <w:rFonts w:ascii="Times New Roman" w:eastAsia="Times New Roman" w:hAnsi="Times New Roman"/>
          <w:sz w:val="24"/>
          <w:szCs w:val="24"/>
        </w:rPr>
        <w:t xml:space="preserve"> </w:t>
      </w:r>
    </w:p>
    <w:p w14:paraId="35E5ECA0" w14:textId="11ED9A3A" w:rsidR="007B7812" w:rsidRDefault="0E9F6D61" w:rsidP="0E9F6D61">
      <w:pPr>
        <w:pStyle w:val="FootnoteText"/>
        <w:ind w:firstLine="567"/>
        <w:jc w:val="both"/>
        <w:rPr>
          <w:rFonts w:ascii="Times New Roman" w:eastAsia="Times New Roman" w:hAnsi="Times New Roman"/>
          <w:kern w:val="2"/>
          <w:sz w:val="24"/>
          <w:szCs w:val="24"/>
        </w:rPr>
      </w:pPr>
      <w:r w:rsidRPr="0E9F6D61">
        <w:rPr>
          <w:rFonts w:ascii="Times New Roman" w:eastAsia="Times New Roman" w:hAnsi="Times New Roman"/>
          <w:sz w:val="24"/>
          <w:szCs w:val="24"/>
        </w:rPr>
        <w:t>Dienests informē, ka Ministru kabineta 28.08.2018. noteikumu Nr.555 ,,Veselības aprūpes organizēšanas un samaksas kārtība” (turpmāk - Noteikumi Nr. 555) 2.7. apakšpunktā noteikts, ka no valsts budžeta līdzekļiem neapmaksā veselības pārbaudes, kas nepieciešamas darbam vai speciālu atļauju saņemšanai, kā arī veselības pārbaudes transportlīdzekļu vadītājiem un profilaktiskās pārbaudes, kas nav minētas šo noteikumu 1. pielikumā ,,Profilaktiskās apskates (izmeklējumi) un sirds un asinsvadu slimību riska noteikšana”. Izskatot informāciju ,,SSK10”</w:t>
      </w:r>
      <w:r w:rsidR="007B7812" w:rsidRPr="0E9F6D61">
        <w:rPr>
          <w:rStyle w:val="FootnoteReference"/>
          <w:rFonts w:ascii="Times New Roman" w:eastAsia="Times New Roman" w:hAnsi="Times New Roman"/>
          <w:sz w:val="24"/>
          <w:szCs w:val="24"/>
        </w:rPr>
        <w:footnoteReference w:id="3"/>
      </w:r>
      <w:r w:rsidRPr="0E9F6D61">
        <w:rPr>
          <w:rFonts w:ascii="Times New Roman" w:eastAsia="Times New Roman" w:hAnsi="Times New Roman"/>
          <w:sz w:val="24"/>
          <w:szCs w:val="24"/>
        </w:rPr>
        <w:t xml:space="preserve">  konstatēta Z02 diagnožu grupa ,,</w:t>
      </w:r>
      <w:r w:rsidRPr="0E9F6D61">
        <w:rPr>
          <w:rFonts w:ascii="Times New Roman" w:eastAsia="Times New Roman" w:hAnsi="Times New Roman"/>
          <w:color w:val="000000" w:themeColor="text1"/>
          <w:sz w:val="24"/>
          <w:szCs w:val="24"/>
          <w:lang w:eastAsia="lv-LV"/>
        </w:rPr>
        <w:t>Administratīvos nolūkos veikta veselības pārbaude un izmeklēšana”</w:t>
      </w:r>
      <w:r w:rsidRPr="0E9F6D61">
        <w:rPr>
          <w:rFonts w:ascii="Times New Roman" w:eastAsia="Times New Roman" w:hAnsi="Times New Roman"/>
          <w:i/>
          <w:iCs/>
          <w:color w:val="000000" w:themeColor="text1"/>
          <w:sz w:val="24"/>
          <w:szCs w:val="24"/>
          <w:lang w:eastAsia="lv-LV"/>
        </w:rPr>
        <w:t xml:space="preserve">, </w:t>
      </w:r>
      <w:r w:rsidRPr="0E9F6D61">
        <w:rPr>
          <w:rFonts w:ascii="Times New Roman" w:eastAsia="Times New Roman" w:hAnsi="Times New Roman"/>
          <w:color w:val="000000" w:themeColor="text1"/>
          <w:sz w:val="24"/>
          <w:szCs w:val="24"/>
          <w:lang w:eastAsia="lv-LV"/>
        </w:rPr>
        <w:t xml:space="preserve">no kā secināms, ka uzrādot kādu no šajā diagnožu grupā norādītajām </w:t>
      </w:r>
      <w:proofErr w:type="spellStart"/>
      <w:r w:rsidRPr="0E9F6D61">
        <w:rPr>
          <w:rFonts w:ascii="Times New Roman" w:eastAsia="Times New Roman" w:hAnsi="Times New Roman"/>
          <w:color w:val="000000" w:themeColor="text1"/>
          <w:sz w:val="24"/>
          <w:szCs w:val="24"/>
          <w:lang w:eastAsia="lv-LV"/>
        </w:rPr>
        <w:t>apakšdiagnozēm</w:t>
      </w:r>
      <w:proofErr w:type="spellEnd"/>
      <w:r w:rsidRPr="0E9F6D61">
        <w:rPr>
          <w:rFonts w:ascii="Times New Roman" w:eastAsia="Times New Roman" w:hAnsi="Times New Roman"/>
          <w:color w:val="000000" w:themeColor="text1"/>
          <w:sz w:val="24"/>
          <w:szCs w:val="24"/>
          <w:lang w:eastAsia="lv-LV"/>
        </w:rPr>
        <w:t xml:space="preserve"> </w:t>
      </w:r>
      <w:r w:rsidRPr="003503EE">
        <w:rPr>
          <w:rFonts w:ascii="Times New Roman" w:eastAsia="Times New Roman" w:hAnsi="Times New Roman"/>
          <w:color w:val="000000" w:themeColor="text1"/>
          <w:sz w:val="24"/>
          <w:szCs w:val="24"/>
          <w:lang w:eastAsia="lv-LV"/>
        </w:rPr>
        <w:t>(</w:t>
      </w:r>
      <w:r w:rsidRPr="003503EE">
        <w:rPr>
          <w:rFonts w:ascii="Times New Roman" w:eastAsia="Times New Roman" w:hAnsi="Times New Roman"/>
          <w:color w:val="000000" w:themeColor="text1"/>
          <w:sz w:val="24"/>
          <w:szCs w:val="24"/>
        </w:rPr>
        <w:t>Z02.1 - pārbaude pirms stāšanās darbā, Z02.4 - pārbaude autovadītāja tiesību iegūšanai, Z02.9 - neprecizēta administratīvos nolūkos veikta veselības pārbaude</w:t>
      </w:r>
      <w:r w:rsidR="003503EE">
        <w:rPr>
          <w:rFonts w:ascii="Times New Roman" w:eastAsia="Times New Roman" w:hAnsi="Times New Roman"/>
          <w:color w:val="000000" w:themeColor="text1"/>
          <w:sz w:val="24"/>
          <w:szCs w:val="24"/>
        </w:rPr>
        <w:t xml:space="preserve"> (turpmāk kopā - </w:t>
      </w:r>
      <w:proofErr w:type="spellStart"/>
      <w:r w:rsidR="003503EE">
        <w:rPr>
          <w:rFonts w:ascii="Times New Roman" w:eastAsia="Times New Roman" w:hAnsi="Times New Roman"/>
          <w:color w:val="000000" w:themeColor="text1"/>
          <w:sz w:val="24"/>
          <w:szCs w:val="24"/>
        </w:rPr>
        <w:t>apakšdiagnozes</w:t>
      </w:r>
      <w:proofErr w:type="spellEnd"/>
      <w:r w:rsidR="003503EE">
        <w:rPr>
          <w:rFonts w:ascii="Times New Roman" w:eastAsia="Times New Roman" w:hAnsi="Times New Roman"/>
          <w:color w:val="000000" w:themeColor="text1"/>
          <w:sz w:val="24"/>
          <w:szCs w:val="24"/>
        </w:rPr>
        <w:t>)</w:t>
      </w:r>
      <w:r w:rsidRPr="003503EE">
        <w:rPr>
          <w:rFonts w:ascii="Times New Roman" w:eastAsia="Times New Roman" w:hAnsi="Times New Roman"/>
          <w:color w:val="000000" w:themeColor="text1"/>
          <w:sz w:val="24"/>
          <w:szCs w:val="24"/>
        </w:rPr>
        <w:t xml:space="preserve">) </w:t>
      </w:r>
      <w:r w:rsidRPr="003503EE">
        <w:rPr>
          <w:rFonts w:ascii="Times New Roman" w:eastAsia="Times New Roman" w:hAnsi="Times New Roman"/>
          <w:sz w:val="24"/>
          <w:szCs w:val="24"/>
        </w:rPr>
        <w:t>personai nepieciešama pārbaude, kas nav saistīta ar saslimšanu vai kādu konkrētu slimību.</w:t>
      </w:r>
      <w:r w:rsidRPr="0E9F6D61">
        <w:rPr>
          <w:rFonts w:ascii="Times New Roman" w:eastAsia="Times New Roman" w:hAnsi="Times New Roman"/>
          <w:sz w:val="24"/>
          <w:szCs w:val="24"/>
        </w:rPr>
        <w:t xml:space="preserve"> </w:t>
      </w:r>
    </w:p>
    <w:p w14:paraId="6FB39AED" w14:textId="39395913" w:rsidR="00012F58" w:rsidRDefault="0E9F6D61" w:rsidP="00A85EC3">
      <w:pPr>
        <w:spacing w:after="0" w:line="240" w:lineRule="auto"/>
        <w:ind w:firstLine="720"/>
        <w:jc w:val="both"/>
        <w:rPr>
          <w:rFonts w:ascii="Times New Roman" w:eastAsia="Times New Roman" w:hAnsi="Times New Roman"/>
          <w:sz w:val="24"/>
          <w:szCs w:val="24"/>
          <w:lang w:eastAsia="lv-LV"/>
        </w:rPr>
      </w:pPr>
      <w:r w:rsidRPr="0E9F6D61">
        <w:rPr>
          <w:rFonts w:ascii="Times New Roman" w:eastAsia="Times New Roman" w:hAnsi="Times New Roman"/>
          <w:sz w:val="24"/>
          <w:szCs w:val="24"/>
        </w:rPr>
        <w:t xml:space="preserve">Dienests uzraudzības darbību ietvaros ir veicis datu analīzi Vadības informācijas sistēmas (turpmāk – VIS) Ambulatoro pakalpojumu apmaksas norēķinu sistēmas (turpmāk – APANS) modulī par periodu no 01.01.2025. līdz 31.10.2025., kuras rezultātā konstatēts, ka vairākas ārstniecības iestādes uzrāda SSK-10 diagnozi Z02 un tās </w:t>
      </w:r>
      <w:proofErr w:type="spellStart"/>
      <w:r w:rsidRPr="0E9F6D61">
        <w:rPr>
          <w:rFonts w:ascii="Times New Roman" w:eastAsia="Times New Roman" w:hAnsi="Times New Roman"/>
          <w:sz w:val="24"/>
          <w:szCs w:val="24"/>
        </w:rPr>
        <w:t>apakšdiagnozes</w:t>
      </w:r>
      <w:proofErr w:type="spellEnd"/>
      <w:r w:rsidRPr="0E9F6D61">
        <w:rPr>
          <w:rFonts w:ascii="Times New Roman" w:eastAsia="Times New Roman" w:hAnsi="Times New Roman"/>
          <w:sz w:val="24"/>
          <w:szCs w:val="24"/>
        </w:rPr>
        <w:t xml:space="preserve"> Z02.1., Z02.4. un Z02.9. kā valsts apmaksātus pakalpojumus, lai gan atbilstoši normatīvo aktu prasībām minētie pakalpojumi nav apmaksājami no valsts budžeta līdzekļiem</w:t>
      </w:r>
      <w:r w:rsidR="00AA497F">
        <w:rPr>
          <w:rFonts w:ascii="Times New Roman" w:eastAsia="Times New Roman" w:hAnsi="Times New Roman"/>
          <w:sz w:val="24"/>
          <w:szCs w:val="24"/>
        </w:rPr>
        <w:t xml:space="preserve"> - </w:t>
      </w:r>
      <w:r w:rsidRPr="0E9F6D61">
        <w:rPr>
          <w:rFonts w:ascii="Times New Roman" w:eastAsia="Times New Roman" w:hAnsi="Times New Roman"/>
          <w:sz w:val="24"/>
          <w:szCs w:val="24"/>
          <w:lang w:eastAsia="lv-LV"/>
        </w:rPr>
        <w:t>no valsts budžeta dotācijas no vispārējiem ieņēmumiem, kas piešķirti Veselības ministrijas veselības aprūpes nodrošināšanas programmai</w:t>
      </w:r>
      <w:r w:rsidR="008035E7" w:rsidRPr="0E9F6D61">
        <w:rPr>
          <w:rStyle w:val="FootnoteReference"/>
          <w:rFonts w:ascii="Times New Roman" w:eastAsia="Times New Roman" w:hAnsi="Times New Roman"/>
          <w:sz w:val="24"/>
          <w:szCs w:val="24"/>
          <w:lang w:eastAsia="lv-LV"/>
        </w:rPr>
        <w:footnoteReference w:id="4"/>
      </w:r>
      <w:r w:rsidRPr="0E9F6D61">
        <w:rPr>
          <w:rFonts w:ascii="Times New Roman" w:eastAsia="Times New Roman" w:hAnsi="Times New Roman"/>
          <w:sz w:val="24"/>
          <w:szCs w:val="24"/>
          <w:lang w:eastAsia="lv-LV"/>
        </w:rPr>
        <w:t>.</w:t>
      </w:r>
      <w:r w:rsidRPr="0E9F6D61">
        <w:rPr>
          <w:rFonts w:ascii="Times New Roman" w:eastAsia="Times New Roman" w:hAnsi="Times New Roman"/>
          <w:sz w:val="24"/>
          <w:szCs w:val="24"/>
        </w:rPr>
        <w:t xml:space="preserve"> </w:t>
      </w:r>
      <w:r w:rsidRPr="0E9F6D61">
        <w:rPr>
          <w:rFonts w:ascii="Times New Roman" w:eastAsia="Times New Roman" w:hAnsi="Times New Roman"/>
          <w:sz w:val="24"/>
          <w:szCs w:val="24"/>
          <w:lang w:eastAsia="lv-LV"/>
        </w:rPr>
        <w:t xml:space="preserve">Līdz ar to Dienests lūdz rūpīgi uzraudzīt pakalpojumu uzskaites procesus un nodrošināt, ka valsts apmaksai tiek uzrādītas tikai tās manipulācijas, kuras saskaņā ar spēkā esošajiem normatīvajiem aktiem ir apmaksājamas no valsts budžeta līdzekļiem. </w:t>
      </w:r>
    </w:p>
    <w:p w14:paraId="35F11F67" w14:textId="75CD6900" w:rsidR="008035E7" w:rsidRDefault="0E9F6D61" w:rsidP="00A85EC3">
      <w:pPr>
        <w:widowControl/>
        <w:spacing w:after="0" w:line="240" w:lineRule="auto"/>
        <w:ind w:firstLine="720"/>
        <w:jc w:val="both"/>
        <w:rPr>
          <w:rFonts w:ascii="Times New Roman" w:eastAsia="Times New Roman" w:hAnsi="Times New Roman"/>
          <w:sz w:val="24"/>
          <w:szCs w:val="24"/>
          <w:lang w:eastAsia="lv-LV"/>
        </w:rPr>
      </w:pPr>
      <w:r w:rsidRPr="0E9F6D61">
        <w:rPr>
          <w:rFonts w:ascii="Times New Roman" w:eastAsia="Times New Roman" w:hAnsi="Times New Roman"/>
          <w:sz w:val="24"/>
          <w:szCs w:val="24"/>
          <w:lang w:eastAsia="lv-LV"/>
        </w:rPr>
        <w:t xml:space="preserve">Papildus Dienests informē, ka turpmāk ceturkšņa kļūdu atlasēs tiks iekļauti arī gadījumi, kuros apmaksai uzrādītas Z02 diagnozes un to </w:t>
      </w:r>
      <w:proofErr w:type="spellStart"/>
      <w:r w:rsidRPr="0E9F6D61">
        <w:rPr>
          <w:rFonts w:ascii="Times New Roman" w:eastAsia="Times New Roman" w:hAnsi="Times New Roman"/>
          <w:sz w:val="24"/>
          <w:szCs w:val="24"/>
          <w:lang w:eastAsia="lv-LV"/>
        </w:rPr>
        <w:t>apakšdiagnozes</w:t>
      </w:r>
      <w:proofErr w:type="spellEnd"/>
      <w:r w:rsidRPr="0E9F6D61">
        <w:rPr>
          <w:rFonts w:ascii="Times New Roman" w:eastAsia="Times New Roman" w:hAnsi="Times New Roman"/>
          <w:sz w:val="24"/>
          <w:szCs w:val="24"/>
          <w:lang w:eastAsia="lv-LV"/>
        </w:rPr>
        <w:t>, lai nodrošinātu savlaicīgu neatbilstību identificēšanu un novēršanu.</w:t>
      </w:r>
    </w:p>
    <w:p w14:paraId="22A758A1" w14:textId="718A3081" w:rsidR="008035E7" w:rsidRDefault="008035E7" w:rsidP="00A85EC3">
      <w:pPr>
        <w:widowControl/>
        <w:spacing w:after="0" w:line="240" w:lineRule="auto"/>
        <w:ind w:firstLine="720"/>
        <w:jc w:val="both"/>
        <w:rPr>
          <w:rFonts w:ascii="Times New Roman" w:eastAsia="Times New Roman" w:hAnsi="Times New Roman"/>
          <w:sz w:val="24"/>
          <w:szCs w:val="24"/>
          <w:lang w:eastAsia="lv-LV"/>
        </w:rPr>
      </w:pPr>
      <w:r w:rsidRPr="008035E7">
        <w:rPr>
          <w:rFonts w:ascii="Times New Roman" w:eastAsia="Times New Roman" w:hAnsi="Times New Roman"/>
          <w:sz w:val="24"/>
          <w:szCs w:val="24"/>
          <w:lang w:eastAsia="lv-LV"/>
        </w:rPr>
        <w:t xml:space="preserve">Dienests </w:t>
      </w:r>
      <w:r w:rsidR="009B348E">
        <w:rPr>
          <w:rFonts w:ascii="Times New Roman" w:eastAsia="Times New Roman" w:hAnsi="Times New Roman"/>
          <w:sz w:val="24"/>
          <w:szCs w:val="24"/>
          <w:lang w:eastAsia="lv-LV"/>
        </w:rPr>
        <w:t>uzsver</w:t>
      </w:r>
      <w:r w:rsidRPr="008035E7">
        <w:rPr>
          <w:rFonts w:ascii="Times New Roman" w:eastAsia="Times New Roman" w:hAnsi="Times New Roman"/>
          <w:sz w:val="24"/>
          <w:szCs w:val="24"/>
          <w:lang w:eastAsia="lv-LV"/>
        </w:rPr>
        <w:t>, ka atkārtoti konstatējot analoģiskas neatbilstības, tiks veikta papildu datu atlase un izvērtēšana.</w:t>
      </w:r>
      <w:r>
        <w:rPr>
          <w:rFonts w:ascii="Times New Roman" w:eastAsia="Times New Roman" w:hAnsi="Times New Roman"/>
          <w:sz w:val="24"/>
          <w:szCs w:val="24"/>
          <w:lang w:eastAsia="lv-LV"/>
        </w:rPr>
        <w:t xml:space="preserve"> </w:t>
      </w:r>
    </w:p>
    <w:p w14:paraId="7CB6F608" w14:textId="77777777" w:rsidR="009305E3" w:rsidRPr="00737785" w:rsidRDefault="009305E3" w:rsidP="009E6ADC">
      <w:pPr>
        <w:spacing w:after="0" w:line="240" w:lineRule="auto"/>
        <w:ind w:firstLine="709"/>
        <w:jc w:val="both"/>
        <w:rPr>
          <w:rFonts w:ascii="Times New Roman" w:hAnsi="Times New Roman"/>
          <w:sz w:val="24"/>
          <w:szCs w:val="24"/>
        </w:rPr>
      </w:pPr>
    </w:p>
    <w:p w14:paraId="55A92E34" w14:textId="4D8D0468" w:rsidR="0E9F6D61" w:rsidRDefault="0E9F6D61" w:rsidP="0E9F6D61">
      <w:pPr>
        <w:spacing w:after="0" w:line="240" w:lineRule="auto"/>
        <w:ind w:firstLine="709"/>
        <w:jc w:val="both"/>
        <w:rPr>
          <w:rFonts w:ascii="Times New Roman" w:hAnsi="Times New Roman"/>
          <w:sz w:val="24"/>
          <w:szCs w:val="24"/>
        </w:rPr>
      </w:pPr>
    </w:p>
    <w:p w14:paraId="7B0B87A4" w14:textId="6C72451D" w:rsidR="0E9F6D61" w:rsidRDefault="0E9F6D61" w:rsidP="0E9F6D61">
      <w:pPr>
        <w:pStyle w:val="Header"/>
        <w:tabs>
          <w:tab w:val="left" w:pos="6150"/>
        </w:tabs>
        <w:rPr>
          <w:rFonts w:ascii="Times New Roman" w:hAnsi="Times New Roman"/>
          <w:sz w:val="24"/>
          <w:szCs w:val="24"/>
        </w:rPr>
      </w:pPr>
    </w:p>
    <w:sectPr w:rsidR="0E9F6D61" w:rsidSect="00E62681">
      <w:headerReference w:type="first" r:id="rId8"/>
      <w:footerReference w:type="first" r:id="rId9"/>
      <w:type w:val="continuous"/>
      <w:pgSz w:w="11920" w:h="16840"/>
      <w:pgMar w:top="1134" w:right="851" w:bottom="1134" w:left="1701" w:header="709" w:footer="70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DBC393" w14:textId="77777777" w:rsidR="00BE7ACE" w:rsidRPr="00013FC9" w:rsidRDefault="00BE7ACE">
      <w:pPr>
        <w:spacing w:after="0" w:line="240" w:lineRule="auto"/>
      </w:pPr>
      <w:r w:rsidRPr="00013FC9">
        <w:separator/>
      </w:r>
    </w:p>
  </w:endnote>
  <w:endnote w:type="continuationSeparator" w:id="0">
    <w:p w14:paraId="2BAE2B16" w14:textId="77777777" w:rsidR="00BE7ACE" w:rsidRPr="00013FC9" w:rsidRDefault="00BE7ACE">
      <w:pPr>
        <w:spacing w:after="0" w:line="240" w:lineRule="auto"/>
      </w:pPr>
      <w:r w:rsidRPr="00013FC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59F5CE" w14:textId="77777777" w:rsidR="007C0743" w:rsidRPr="00013FC9" w:rsidRDefault="00180708" w:rsidP="007C0743">
    <w:pPr>
      <w:tabs>
        <w:tab w:val="left" w:pos="2295"/>
      </w:tabs>
      <w:spacing w:after="0"/>
      <w:jc w:val="center"/>
      <w:rPr>
        <w:rFonts w:ascii="Times New Roman" w:hAnsi="Times New Roman"/>
        <w:sz w:val="24"/>
      </w:rPr>
    </w:pPr>
    <w:r w:rsidRPr="00013FC9">
      <w:rPr>
        <w:rFonts w:ascii="Times New Roman" w:hAnsi="Times New Roman"/>
        <w:sz w:val="24"/>
      </w:rPr>
      <w:t>Dokuments parakstīts ar drošu elektronisko parakstu un satur laika zīmogu</w:t>
    </w:r>
  </w:p>
  <w:p w14:paraId="3237AC6A" w14:textId="77777777" w:rsidR="00445202" w:rsidRPr="00013FC9" w:rsidRDefault="00180708" w:rsidP="00445202">
    <w:pPr>
      <w:pStyle w:val="Header"/>
      <w:jc w:val="center"/>
      <w:rPr>
        <w:rFonts w:ascii="Times New Roman" w:hAnsi="Times New Roman"/>
      </w:rPr>
    </w:pPr>
    <w:r w:rsidRPr="00013FC9">
      <w:rPr>
        <w:rFonts w:ascii="Times New Roman" w:hAnsi="Times New Roman"/>
      </w:rPr>
      <w:t>Ierobežota pieejamība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29A75B" w14:textId="77777777" w:rsidR="00BE7ACE" w:rsidRPr="00013FC9" w:rsidRDefault="00BE7ACE">
      <w:pPr>
        <w:spacing w:after="0" w:line="240" w:lineRule="auto"/>
      </w:pPr>
      <w:r w:rsidRPr="00013FC9">
        <w:separator/>
      </w:r>
    </w:p>
  </w:footnote>
  <w:footnote w:type="continuationSeparator" w:id="0">
    <w:p w14:paraId="6875B671" w14:textId="77777777" w:rsidR="00BE7ACE" w:rsidRPr="00013FC9" w:rsidRDefault="00BE7ACE">
      <w:pPr>
        <w:spacing w:after="0" w:line="240" w:lineRule="auto"/>
      </w:pPr>
      <w:r w:rsidRPr="00013FC9">
        <w:continuationSeparator/>
      </w:r>
    </w:p>
  </w:footnote>
  <w:footnote w:id="1">
    <w:p w14:paraId="3FC95600" w14:textId="77777777" w:rsidR="00C11F02" w:rsidRPr="00013FC9" w:rsidRDefault="00C11F02" w:rsidP="00C11F02">
      <w:pPr>
        <w:pStyle w:val="FootnoteText"/>
        <w:ind w:right="284"/>
        <w:jc w:val="both"/>
        <w:rPr>
          <w:rFonts w:ascii="Times New Roman" w:hAnsi="Times New Roman"/>
        </w:rPr>
      </w:pPr>
      <w:r w:rsidRPr="00013FC9">
        <w:rPr>
          <w:rStyle w:val="FootnoteReference"/>
          <w:rFonts w:ascii="Times New Roman" w:hAnsi="Times New Roman"/>
        </w:rPr>
        <w:footnoteRef/>
      </w:r>
      <w:r w:rsidRPr="00013FC9">
        <w:rPr>
          <w:rFonts w:ascii="Times New Roman" w:hAnsi="Times New Roman"/>
        </w:rPr>
        <w:t xml:space="preserve"> Veselības aprūpes finansēšanas likuma 15. panta pirmā daļa, Ministru kabineta 01.11.2011. noteikumu Nr. 850 „Nacionālā veselības dienesta nolikums” (turpmāk – Dienesta nolikums) 3.1., 3.2. apakšpunkts</w:t>
      </w:r>
    </w:p>
  </w:footnote>
  <w:footnote w:id="2">
    <w:p w14:paraId="29F51FB5" w14:textId="77777777" w:rsidR="00C11F02" w:rsidRPr="001F1A78" w:rsidRDefault="00C11F02" w:rsidP="00C11F02">
      <w:pPr>
        <w:pStyle w:val="FootnoteText"/>
        <w:ind w:right="284"/>
        <w:jc w:val="both"/>
        <w:rPr>
          <w:rFonts w:ascii="Times New Roman" w:hAnsi="Times New Roman"/>
        </w:rPr>
      </w:pPr>
      <w:r w:rsidRPr="00013FC9">
        <w:rPr>
          <w:rStyle w:val="FootnoteReference"/>
          <w:rFonts w:ascii="Times New Roman" w:hAnsi="Times New Roman"/>
        </w:rPr>
        <w:footnoteRef/>
      </w:r>
      <w:r w:rsidRPr="00013FC9">
        <w:rPr>
          <w:rFonts w:ascii="Times New Roman" w:hAnsi="Times New Roman"/>
        </w:rPr>
        <w:t xml:space="preserve"> Dienesta nolikuma 4.6. apakšpunkts</w:t>
      </w:r>
    </w:p>
  </w:footnote>
  <w:footnote w:id="3">
    <w:p w14:paraId="50B38A6B" w14:textId="77777777" w:rsidR="007B7812" w:rsidRPr="00694153" w:rsidRDefault="007B7812" w:rsidP="007B7812">
      <w:pPr>
        <w:pStyle w:val="FootnoteText"/>
        <w:jc w:val="both"/>
        <w:rPr>
          <w:rFonts w:ascii="Times New Roman" w:hAnsi="Times New Roman"/>
        </w:rPr>
      </w:pPr>
      <w:r w:rsidRPr="00694153">
        <w:rPr>
          <w:rStyle w:val="FootnoteReference"/>
          <w:rFonts w:ascii="Times New Roman" w:hAnsi="Times New Roman"/>
        </w:rPr>
        <w:footnoteRef/>
      </w:r>
      <w:r w:rsidRPr="00694153">
        <w:rPr>
          <w:rFonts w:ascii="Times New Roman" w:hAnsi="Times New Roman"/>
        </w:rPr>
        <w:t xml:space="preserve"> https://ssk10.spkc.gov.lv/ssk ,,Aktuālā starptautiskā statistiskā slimību un veselības problēmu klasifikācija, 10. redakcija” (turpmāk – SSK10)</w:t>
      </w:r>
    </w:p>
  </w:footnote>
  <w:footnote w:id="4">
    <w:p w14:paraId="2D347E7F" w14:textId="782A6331" w:rsidR="0053403F" w:rsidRPr="00AD407A" w:rsidRDefault="00012F58" w:rsidP="0053403F">
      <w:pPr>
        <w:pStyle w:val="FootnoteText"/>
        <w:jc w:val="both"/>
        <w:rPr>
          <w:rFonts w:ascii="Times New Roman" w:hAnsi="Times New Roman"/>
        </w:rPr>
      </w:pPr>
      <w:r>
        <w:rPr>
          <w:rStyle w:val="FootnoteReference"/>
        </w:rPr>
        <w:footnoteRef/>
      </w:r>
      <w:r>
        <w:t xml:space="preserve"> </w:t>
      </w:r>
      <w:r w:rsidR="0053403F" w:rsidRPr="00AD407A">
        <w:rPr>
          <w:rFonts w:ascii="Times New Roman" w:hAnsi="Times New Roman"/>
        </w:rPr>
        <w:t xml:space="preserve">Ministru kabineta 28.08.2018. noteikumu Nr. 555 ,,Veselības aprūpes organizēšanas un samaksas kārtība” </w:t>
      </w:r>
      <w:r w:rsidR="0053403F">
        <w:rPr>
          <w:rFonts w:ascii="Times New Roman" w:hAnsi="Times New Roman"/>
        </w:rPr>
        <w:t>1</w:t>
      </w:r>
      <w:r w:rsidR="0053403F" w:rsidRPr="00AD407A">
        <w:rPr>
          <w:rFonts w:ascii="Times New Roman" w:hAnsi="Times New Roman"/>
        </w:rPr>
        <w:t>.</w:t>
      </w:r>
      <w:r w:rsidR="0053403F">
        <w:rPr>
          <w:rFonts w:ascii="Times New Roman" w:hAnsi="Times New Roman"/>
        </w:rPr>
        <w:t>3</w:t>
      </w:r>
      <w:r w:rsidR="0053403F" w:rsidRPr="00AD407A">
        <w:rPr>
          <w:rFonts w:ascii="Times New Roman" w:hAnsi="Times New Roman"/>
        </w:rPr>
        <w:t xml:space="preserve"> apakšpunkts.</w:t>
      </w:r>
    </w:p>
    <w:p w14:paraId="446FAA41" w14:textId="51E590D2" w:rsidR="00012F58" w:rsidRDefault="00012F58">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67D855" w14:textId="3EF4CBF0" w:rsidR="00A17014" w:rsidRPr="00013FC9" w:rsidRDefault="00180708">
    <w:pPr>
      <w:pStyle w:val="Header"/>
    </w:pPr>
    <w:r w:rsidRPr="00013FC9">
      <w:rPr>
        <w:noProof/>
      </w:rPr>
      <mc:AlternateContent>
        <mc:Choice Requires="wpg">
          <w:drawing>
            <wp:anchor distT="0" distB="0" distL="114300" distR="114300" simplePos="0" relativeHeight="251659264" behindDoc="1" locked="0" layoutInCell="1" allowOverlap="1" wp14:anchorId="50783C35" wp14:editId="50409100">
              <wp:simplePos x="0" y="0"/>
              <wp:positionH relativeFrom="page">
                <wp:posOffset>1850390</wp:posOffset>
              </wp:positionH>
              <wp:positionV relativeFrom="page">
                <wp:posOffset>1945640</wp:posOffset>
              </wp:positionV>
              <wp:extent cx="4397375" cy="1270"/>
              <wp:effectExtent l="0" t="0" r="0" b="0"/>
              <wp:wrapNone/>
              <wp:docPr id="5" name="Group 11"/>
              <wp:cNvGraphicFramePr/>
              <a:graphic xmlns:a="http://schemas.openxmlformats.org/drawingml/2006/main">
                <a:graphicData uri="http://schemas.microsoft.com/office/word/2010/wordprocessingGroup">
                  <wpg:wgp>
                    <wpg:cNvGrpSpPr/>
                    <wpg:grpSpPr>
                      <a:xfrm>
                        <a:off x="0" y="0"/>
                        <a:ext cx="4397375" cy="1270"/>
                        <a:chOff x="2915" y="2998"/>
                        <a:chExt cx="6926" cy="2"/>
                      </a:xfrm>
                    </wpg:grpSpPr>
                    <wps:wsp>
                      <wps:cNvPr id="6" name="Freeform 12"/>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w14:anchorId="345AFA05" id="Group 11" o:spid="_x0000_s1026" style="position:absolute;margin-left:145.7pt;margin-top:153.2pt;width:346.25pt;height:.1pt;z-index:-251657216;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">
              <v:shape id="Freeform 12"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" path="m,l6926,e" filled="f" strokecolor="#231f20" strokeweight=".25pt">
                <v:path arrowok="t" o:connecttype="custom" o:connectlocs="0,0;6926,0" o:connectangles="0,0"/>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BD141F2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54906AE0"/>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4030FA6A"/>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42644F22"/>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066A8A40"/>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CB24B198"/>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3A08C316"/>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F1282C9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A0F08B50"/>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88FA5B40"/>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6E7295D6"/>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60E7006"/>
    <w:multiLevelType w:val="hybridMultilevel"/>
    <w:tmpl w:val="8738141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1AD04CBA"/>
    <w:multiLevelType w:val="multilevel"/>
    <w:tmpl w:val="0426001F"/>
    <w:lvl w:ilvl="0">
      <w:start w:val="1"/>
      <w:numFmt w:val="decimal"/>
      <w:lvlText w:val="%1."/>
      <w:lvlJc w:val="left"/>
      <w:pPr>
        <w:tabs>
          <w:tab w:val="num" w:pos="360"/>
        </w:tabs>
        <w:ind w:left="360" w:hanging="360"/>
      </w:pPr>
    </w:lvl>
    <w:lvl w:ilvl="1">
      <w:start w:val="1"/>
      <w:numFmt w:val="decimal"/>
      <w:lvlText w:val="%1.%2."/>
      <w:lvlJc w:val="left"/>
      <w:pPr>
        <w:tabs>
          <w:tab w:val="num" w:pos="432"/>
        </w:tabs>
        <w:ind w:left="432" w:hanging="432"/>
      </w:pPr>
    </w:lvl>
    <w:lvl w:ilvl="2">
      <w:start w:val="1"/>
      <w:numFmt w:val="decimal"/>
      <w:lvlText w:val="%1.%2.%3."/>
      <w:lvlJc w:val="left"/>
      <w:pPr>
        <w:tabs>
          <w:tab w:val="num" w:pos="1146"/>
        </w:tabs>
        <w:ind w:left="930"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num w:numId="1" w16cid:durableId="708382744">
    <w:abstractNumId w:val="10"/>
  </w:num>
  <w:num w:numId="2" w16cid:durableId="483811765">
    <w:abstractNumId w:val="8"/>
  </w:num>
  <w:num w:numId="3" w16cid:durableId="505940671">
    <w:abstractNumId w:val="7"/>
  </w:num>
  <w:num w:numId="4" w16cid:durableId="1897355835">
    <w:abstractNumId w:val="6"/>
  </w:num>
  <w:num w:numId="5" w16cid:durableId="1515680894">
    <w:abstractNumId w:val="5"/>
  </w:num>
  <w:num w:numId="6" w16cid:durableId="1498613820">
    <w:abstractNumId w:val="9"/>
  </w:num>
  <w:num w:numId="7" w16cid:durableId="185295545">
    <w:abstractNumId w:val="4"/>
  </w:num>
  <w:num w:numId="8" w16cid:durableId="719089872">
    <w:abstractNumId w:val="3"/>
  </w:num>
  <w:num w:numId="9" w16cid:durableId="739526592">
    <w:abstractNumId w:val="2"/>
  </w:num>
  <w:num w:numId="10" w16cid:durableId="1098987936">
    <w:abstractNumId w:val="1"/>
  </w:num>
  <w:num w:numId="11" w16cid:durableId="1628125976">
    <w:abstractNumId w:val="0"/>
  </w:num>
  <w:num w:numId="12" w16cid:durableId="258103104">
    <w:abstractNumId w:val="11"/>
  </w:num>
  <w:num w:numId="13" w16cid:durableId="205025247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12F58"/>
    <w:rsid w:val="00013FC9"/>
    <w:rsid w:val="00017813"/>
    <w:rsid w:val="00044E70"/>
    <w:rsid w:val="00063391"/>
    <w:rsid w:val="0007461D"/>
    <w:rsid w:val="000A2897"/>
    <w:rsid w:val="000A3A53"/>
    <w:rsid w:val="000B61F9"/>
    <w:rsid w:val="00114AC0"/>
    <w:rsid w:val="00146779"/>
    <w:rsid w:val="0015276B"/>
    <w:rsid w:val="00180708"/>
    <w:rsid w:val="001A1815"/>
    <w:rsid w:val="002132EF"/>
    <w:rsid w:val="00215BF4"/>
    <w:rsid w:val="002625E6"/>
    <w:rsid w:val="002974A3"/>
    <w:rsid w:val="002C74E4"/>
    <w:rsid w:val="002E1474"/>
    <w:rsid w:val="00324323"/>
    <w:rsid w:val="003503EE"/>
    <w:rsid w:val="00352609"/>
    <w:rsid w:val="003723BA"/>
    <w:rsid w:val="0038686C"/>
    <w:rsid w:val="00397C87"/>
    <w:rsid w:val="003A2F1C"/>
    <w:rsid w:val="003A3C09"/>
    <w:rsid w:val="003B27D3"/>
    <w:rsid w:val="003B576E"/>
    <w:rsid w:val="003E542E"/>
    <w:rsid w:val="003E58CB"/>
    <w:rsid w:val="003E7BFB"/>
    <w:rsid w:val="004133DA"/>
    <w:rsid w:val="00425E29"/>
    <w:rsid w:val="00445202"/>
    <w:rsid w:val="00451044"/>
    <w:rsid w:val="00461202"/>
    <w:rsid w:val="00470F1A"/>
    <w:rsid w:val="004C23F4"/>
    <w:rsid w:val="004F245D"/>
    <w:rsid w:val="005126CC"/>
    <w:rsid w:val="00521B62"/>
    <w:rsid w:val="0052718F"/>
    <w:rsid w:val="0053403F"/>
    <w:rsid w:val="0054127D"/>
    <w:rsid w:val="005412E1"/>
    <w:rsid w:val="005C3C26"/>
    <w:rsid w:val="005C3CD9"/>
    <w:rsid w:val="005C417E"/>
    <w:rsid w:val="005C4A27"/>
    <w:rsid w:val="005D6933"/>
    <w:rsid w:val="005F0979"/>
    <w:rsid w:val="005F629D"/>
    <w:rsid w:val="005F7FF8"/>
    <w:rsid w:val="006064BD"/>
    <w:rsid w:val="006076F2"/>
    <w:rsid w:val="006177A6"/>
    <w:rsid w:val="00623B7B"/>
    <w:rsid w:val="00627101"/>
    <w:rsid w:val="006445D5"/>
    <w:rsid w:val="006B747D"/>
    <w:rsid w:val="006D7D2A"/>
    <w:rsid w:val="006F28B5"/>
    <w:rsid w:val="007116FE"/>
    <w:rsid w:val="007342FD"/>
    <w:rsid w:val="00737785"/>
    <w:rsid w:val="0075139F"/>
    <w:rsid w:val="007B3529"/>
    <w:rsid w:val="007B7812"/>
    <w:rsid w:val="007C0743"/>
    <w:rsid w:val="007C27EB"/>
    <w:rsid w:val="008035E7"/>
    <w:rsid w:val="00815277"/>
    <w:rsid w:val="00832517"/>
    <w:rsid w:val="00835305"/>
    <w:rsid w:val="008454A7"/>
    <w:rsid w:val="0085578A"/>
    <w:rsid w:val="00890859"/>
    <w:rsid w:val="008A2903"/>
    <w:rsid w:val="008A7039"/>
    <w:rsid w:val="008B2F97"/>
    <w:rsid w:val="008C2C26"/>
    <w:rsid w:val="008F11E7"/>
    <w:rsid w:val="009305E3"/>
    <w:rsid w:val="0094520D"/>
    <w:rsid w:val="0094542C"/>
    <w:rsid w:val="00947C85"/>
    <w:rsid w:val="009A4091"/>
    <w:rsid w:val="009B348E"/>
    <w:rsid w:val="009C7FB2"/>
    <w:rsid w:val="009E4979"/>
    <w:rsid w:val="009E6ADC"/>
    <w:rsid w:val="009F44CA"/>
    <w:rsid w:val="00A15E31"/>
    <w:rsid w:val="00A1689F"/>
    <w:rsid w:val="00A17014"/>
    <w:rsid w:val="00A21E19"/>
    <w:rsid w:val="00A21FE5"/>
    <w:rsid w:val="00A3025E"/>
    <w:rsid w:val="00A40EB4"/>
    <w:rsid w:val="00A47BF2"/>
    <w:rsid w:val="00A51EF1"/>
    <w:rsid w:val="00A579FA"/>
    <w:rsid w:val="00A65A9C"/>
    <w:rsid w:val="00A74F66"/>
    <w:rsid w:val="00A81191"/>
    <w:rsid w:val="00A85EC3"/>
    <w:rsid w:val="00A94C2A"/>
    <w:rsid w:val="00A95A5E"/>
    <w:rsid w:val="00AA497F"/>
    <w:rsid w:val="00AA71A9"/>
    <w:rsid w:val="00AC4993"/>
    <w:rsid w:val="00AC51FA"/>
    <w:rsid w:val="00B07809"/>
    <w:rsid w:val="00B858BE"/>
    <w:rsid w:val="00BA1FBE"/>
    <w:rsid w:val="00BD08B7"/>
    <w:rsid w:val="00BE7ACE"/>
    <w:rsid w:val="00C11F02"/>
    <w:rsid w:val="00C1495B"/>
    <w:rsid w:val="00C4265F"/>
    <w:rsid w:val="00C44826"/>
    <w:rsid w:val="00CC795A"/>
    <w:rsid w:val="00CD220E"/>
    <w:rsid w:val="00CD79EE"/>
    <w:rsid w:val="00CF5B82"/>
    <w:rsid w:val="00D15666"/>
    <w:rsid w:val="00D2492E"/>
    <w:rsid w:val="00D55E5D"/>
    <w:rsid w:val="00D56076"/>
    <w:rsid w:val="00D6330A"/>
    <w:rsid w:val="00D708CF"/>
    <w:rsid w:val="00D9212D"/>
    <w:rsid w:val="00D950D0"/>
    <w:rsid w:val="00DE0DB1"/>
    <w:rsid w:val="00DF3AF5"/>
    <w:rsid w:val="00E41FBD"/>
    <w:rsid w:val="00E61E92"/>
    <w:rsid w:val="00E62681"/>
    <w:rsid w:val="00EB1C4F"/>
    <w:rsid w:val="00EB3125"/>
    <w:rsid w:val="00EC07E1"/>
    <w:rsid w:val="00EC40F9"/>
    <w:rsid w:val="00ED1FAB"/>
    <w:rsid w:val="00F1213C"/>
    <w:rsid w:val="00F13E37"/>
    <w:rsid w:val="00F35EB5"/>
    <w:rsid w:val="00F40D0D"/>
    <w:rsid w:val="00F42F11"/>
    <w:rsid w:val="00F45B61"/>
    <w:rsid w:val="00F565A5"/>
    <w:rsid w:val="00F57C0C"/>
    <w:rsid w:val="00FE360F"/>
    <w:rsid w:val="00FF631C"/>
    <w:rsid w:val="00FF714B"/>
    <w:rsid w:val="0E9F6D61"/>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A0B82D"/>
  <w15:chartTrackingRefBased/>
  <w15:docId w15:val="{102D284E-236D-4986-999A-6905313BFD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paragraph" w:styleId="NoSpacing">
    <w:name w:val="No Spacing"/>
    <w:uiPriority w:val="1"/>
    <w:qFormat/>
    <w:rsid w:val="00A17014"/>
    <w:pPr>
      <w:widowControl w:val="0"/>
    </w:pPr>
    <w:rPr>
      <w:sz w:val="22"/>
      <w:szCs w:val="22"/>
      <w:lang w:val="en-US" w:eastAsia="en-US"/>
    </w:rPr>
  </w:style>
  <w:style w:type="paragraph" w:styleId="BalloonText">
    <w:name w:val="Balloon Text"/>
    <w:basedOn w:val="Normal"/>
    <w:link w:val="BalloonTextChar"/>
    <w:uiPriority w:val="99"/>
    <w:semiHidden/>
    <w:unhideWhenUsed/>
    <w:rsid w:val="00044E70"/>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044E70"/>
    <w:rPr>
      <w:rFonts w:ascii="Segoe UI" w:hAnsi="Segoe UI" w:cs="Segoe UI"/>
      <w:sz w:val="18"/>
      <w:szCs w:val="18"/>
      <w:lang w:val="en-US" w:eastAsia="en-US"/>
    </w:rPr>
  </w:style>
  <w:style w:type="paragraph" w:styleId="FootnoteText">
    <w:name w:val="footnote text"/>
    <w:aliases w:val="Char,Char Rakstz. Rakstz. Rakstz.,Footnote,Fußnote,Fußnote Rakstz. Rakstz. R,Fußnote Rakstz. Rakstz. Rakstz. Rakstz.,Fußnote Rakstz. Rakstz. Rakstz. Rakstz. Rakstz.,Fußnote Rakstz. Rakstz. Rakstz. Rakstz. Rakstz. Rakstz.,-E Fußnotentext,ft"/>
    <w:basedOn w:val="Normal"/>
    <w:link w:val="FootnoteTextChar"/>
    <w:uiPriority w:val="99"/>
    <w:unhideWhenUsed/>
    <w:qFormat/>
    <w:rsid w:val="00C11F02"/>
    <w:pPr>
      <w:widowControl/>
      <w:spacing w:after="0" w:line="240" w:lineRule="auto"/>
    </w:pPr>
    <w:rPr>
      <w:sz w:val="20"/>
      <w:szCs w:val="20"/>
    </w:rPr>
  </w:style>
  <w:style w:type="character" w:customStyle="1" w:styleId="FootnoteTextChar">
    <w:name w:val="Footnote Text Char"/>
    <w:aliases w:val="Char Char,Char Rakstz. Rakstz. Rakstz. Char,Footnote Char,Fußnote Char,Fußnote Rakstz. Rakstz. R Char,Fußnote Rakstz. Rakstz. Rakstz. Rakstz. Char,Fußnote Rakstz. Rakstz. Rakstz. Rakstz. Rakstz. Char,-E Fußnotentext Char,ft Char"/>
    <w:basedOn w:val="DefaultParagraphFont"/>
    <w:link w:val="FootnoteText"/>
    <w:uiPriority w:val="99"/>
    <w:qFormat/>
    <w:rsid w:val="00C11F02"/>
    <w:rPr>
      <w:lang w:eastAsia="en-US"/>
    </w:rPr>
  </w:style>
  <w:style w:type="character" w:styleId="FootnoteReference">
    <w:name w:val="footnote reference"/>
    <w:aliases w:val="-E Fußnotenzeichen,BVI fnr,E,E FNZ,Footnote Reference Number,Footnote Reference Superscript,Footnote Refernece,Footnote reference number,Footnote symbol,Footnotes refss,Odwołanie przypisu,Ref,SUPERS,Times 10 Point,de nota al pie,ftref"/>
    <w:link w:val="CharCharCharChar"/>
    <w:uiPriority w:val="99"/>
    <w:unhideWhenUsed/>
    <w:qFormat/>
    <w:rsid w:val="00C11F02"/>
    <w:rPr>
      <w:vertAlign w:val="superscript"/>
    </w:rPr>
  </w:style>
  <w:style w:type="paragraph" w:customStyle="1" w:styleId="CharCharCharChar">
    <w:name w:val="Char Char Char Char"/>
    <w:aliases w:val="Char2"/>
    <w:basedOn w:val="Normal"/>
    <w:next w:val="Normal"/>
    <w:link w:val="FootnoteReference"/>
    <w:uiPriority w:val="99"/>
    <w:rsid w:val="00C11F02"/>
    <w:pPr>
      <w:keepNext/>
      <w:keepLines/>
      <w:widowControl/>
      <w:spacing w:before="120" w:after="160" w:line="240" w:lineRule="exact"/>
      <w:jc w:val="both"/>
      <w:textAlignment w:val="baseline"/>
      <w:outlineLvl w:val="0"/>
    </w:pPr>
    <w:rPr>
      <w:sz w:val="20"/>
      <w:szCs w:val="20"/>
      <w:vertAlign w:val="superscript"/>
      <w:lang w:eastAsia="lv-LV"/>
    </w:rPr>
  </w:style>
  <w:style w:type="character" w:styleId="Hyperlink">
    <w:name w:val="Hyperlink"/>
    <w:basedOn w:val="DefaultParagraphFont"/>
    <w:uiPriority w:val="99"/>
    <w:unhideWhenUsed/>
    <w:rsid w:val="005F7FF8"/>
    <w:rPr>
      <w:color w:val="0563C1" w:themeColor="hyperlink"/>
      <w:u w:val="single"/>
    </w:rPr>
  </w:style>
  <w:style w:type="character" w:styleId="UnresolvedMention">
    <w:name w:val="Unresolved Mention"/>
    <w:basedOn w:val="DefaultParagraphFont"/>
    <w:uiPriority w:val="99"/>
    <w:semiHidden/>
    <w:unhideWhenUsed/>
    <w:rsid w:val="005F7FF8"/>
    <w:rPr>
      <w:color w:val="605E5C"/>
      <w:shd w:val="clear" w:color="auto" w:fill="E1DFDD"/>
    </w:rPr>
  </w:style>
  <w:style w:type="paragraph" w:styleId="ListParagraph">
    <w:name w:val="List Paragraph"/>
    <w:basedOn w:val="Normal"/>
    <w:uiPriority w:val="34"/>
    <w:qFormat/>
    <w:rsid w:val="009305E3"/>
    <w:pPr>
      <w:ind w:left="720"/>
      <w:contextualSpacing/>
    </w:pPr>
  </w:style>
  <w:style w:type="paragraph" w:styleId="Revision">
    <w:name w:val="Revision"/>
    <w:hidden/>
    <w:uiPriority w:val="99"/>
    <w:semiHidden/>
    <w:rsid w:val="00832517"/>
    <w:rPr>
      <w:sz w:val="22"/>
      <w:szCs w:val="22"/>
      <w:lang w:eastAsia="en-US"/>
    </w:rPr>
  </w:style>
  <w:style w:type="character" w:styleId="CommentReference">
    <w:name w:val="annotation reference"/>
    <w:basedOn w:val="DefaultParagraphFont"/>
    <w:uiPriority w:val="99"/>
    <w:semiHidden/>
    <w:unhideWhenUsed/>
    <w:rsid w:val="00832517"/>
    <w:rPr>
      <w:sz w:val="16"/>
      <w:szCs w:val="16"/>
    </w:rPr>
  </w:style>
  <w:style w:type="paragraph" w:styleId="CommentText">
    <w:name w:val="annotation text"/>
    <w:basedOn w:val="Normal"/>
    <w:link w:val="CommentTextChar"/>
    <w:uiPriority w:val="99"/>
    <w:unhideWhenUsed/>
    <w:rsid w:val="00832517"/>
    <w:pPr>
      <w:spacing w:line="240" w:lineRule="auto"/>
    </w:pPr>
    <w:rPr>
      <w:sz w:val="20"/>
      <w:szCs w:val="20"/>
    </w:rPr>
  </w:style>
  <w:style w:type="character" w:customStyle="1" w:styleId="CommentTextChar">
    <w:name w:val="Comment Text Char"/>
    <w:basedOn w:val="DefaultParagraphFont"/>
    <w:link w:val="CommentText"/>
    <w:uiPriority w:val="99"/>
    <w:rsid w:val="00832517"/>
    <w:rPr>
      <w:lang w:eastAsia="en-US"/>
    </w:rPr>
  </w:style>
  <w:style w:type="paragraph" w:styleId="CommentSubject">
    <w:name w:val="annotation subject"/>
    <w:basedOn w:val="CommentText"/>
    <w:next w:val="CommentText"/>
    <w:link w:val="CommentSubjectChar"/>
    <w:uiPriority w:val="99"/>
    <w:semiHidden/>
    <w:unhideWhenUsed/>
    <w:rsid w:val="00832517"/>
    <w:rPr>
      <w:b/>
      <w:bCs/>
    </w:rPr>
  </w:style>
  <w:style w:type="character" w:customStyle="1" w:styleId="CommentSubjectChar">
    <w:name w:val="Comment Subject Char"/>
    <w:basedOn w:val="CommentTextChar"/>
    <w:link w:val="CommentSubject"/>
    <w:uiPriority w:val="99"/>
    <w:semiHidden/>
    <w:rsid w:val="00832517"/>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FDEFC8-1E3D-438B-9CDA-527ED9D31A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1782</Words>
  <Characters>1017</Characters>
  <Application>Microsoft Office Word</Application>
  <DocSecurity>0</DocSecurity>
  <Lines>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Dagnija</dc:creator>
  <cp:lastModifiedBy>Vineta Leincena</cp:lastModifiedBy>
  <cp:revision>2</cp:revision>
  <cp:lastPrinted>2019-08-19T08:08:00Z</cp:lastPrinted>
  <dcterms:created xsi:type="dcterms:W3CDTF">2026-07-30T06:44:00Z</dcterms:created>
  <dcterms:modified xsi:type="dcterms:W3CDTF">2026-07-30T06:44:00Z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