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0F719" w14:textId="36D48043" w:rsidR="00251FFF" w:rsidRPr="00AB2931" w:rsidRDefault="008811CF" w:rsidP="006859B8">
      <w:pPr>
        <w:jc w:val="both"/>
        <w:rPr>
          <w:rFonts w:ascii="Times New Roman" w:hAnsi="Times New Roman" w:cs="Times New Roman"/>
          <w:b/>
          <w:bCs/>
        </w:rPr>
      </w:pPr>
      <w:r w:rsidRPr="00AB2931">
        <w:rPr>
          <w:rFonts w:ascii="Times New Roman" w:hAnsi="Times New Roman" w:cs="Times New Roman"/>
          <w:b/>
          <w:bCs/>
        </w:rPr>
        <w:t>Alyftrek (</w:t>
      </w:r>
      <w:bookmarkStart w:id="0" w:name="_Hlk206747130"/>
      <w:r w:rsidRPr="00AB2931">
        <w:rPr>
          <w:rFonts w:ascii="Times New Roman" w:hAnsi="Times New Roman" w:cs="Times New Roman"/>
          <w:b/>
          <w:bCs/>
          <w:i/>
          <w:iCs/>
        </w:rPr>
        <w:t>Deutivacaftorum/ Tezacaftorum/ Vanzacaftorum</w:t>
      </w:r>
      <w:bookmarkEnd w:id="0"/>
      <w:r w:rsidRPr="00AB2931">
        <w:rPr>
          <w:rFonts w:ascii="Times New Roman" w:hAnsi="Times New Roman" w:cs="Times New Roman"/>
          <w:b/>
          <w:bCs/>
        </w:rPr>
        <w:t>) terapijas uzsākšanas un atcelšanas kritēriji Cistiskās fibrozes pacientiem.</w:t>
      </w:r>
    </w:p>
    <w:p w14:paraId="4EE237D3" w14:textId="386B0D09" w:rsidR="00D97914" w:rsidRPr="00AB2931" w:rsidRDefault="00D97914" w:rsidP="006859B8">
      <w:pPr>
        <w:spacing w:after="0"/>
        <w:ind w:firstLine="720"/>
        <w:jc w:val="both"/>
        <w:rPr>
          <w:rFonts w:ascii="Times New Roman" w:hAnsi="Times New Roman" w:cs="Times New Roman"/>
        </w:rPr>
      </w:pPr>
      <w:r w:rsidRPr="00AB2931">
        <w:rPr>
          <w:rFonts w:ascii="Times New Roman" w:hAnsi="Times New Roman" w:cs="Times New Roman"/>
        </w:rPr>
        <w:t xml:space="preserve">Alyftrek tabletes ir paredzētas cistiskās fibrozes (CF) ārstēšanai </w:t>
      </w:r>
      <w:r w:rsidR="00B441AA" w:rsidRPr="00AB2931">
        <w:rPr>
          <w:rFonts w:ascii="Times New Roman" w:hAnsi="Times New Roman" w:cs="Times New Roman"/>
        </w:rPr>
        <w:t>pacientiem</w:t>
      </w:r>
      <w:r w:rsidRPr="00AB2931">
        <w:rPr>
          <w:rFonts w:ascii="Times New Roman" w:hAnsi="Times New Roman" w:cs="Times New Roman"/>
        </w:rPr>
        <w:t xml:space="preserve"> vecumā no 6 gadiem, kuriem ir vismaz viena mutācija cistiskās fibrozes transmembrānas vadītspējas regulatora (cystic fibrosis transmembrane conductance regulator, CFTR) gēnā, kas nav I klases mutācija.</w:t>
      </w:r>
    </w:p>
    <w:p w14:paraId="26B8A984" w14:textId="531B4C16" w:rsidR="00D97914" w:rsidRPr="00AB2931" w:rsidRDefault="00D97914" w:rsidP="006859B8">
      <w:pPr>
        <w:spacing w:after="0"/>
        <w:ind w:firstLine="720"/>
        <w:jc w:val="both"/>
        <w:rPr>
          <w:rFonts w:ascii="Times New Roman" w:hAnsi="Times New Roman" w:cs="Times New Roman"/>
        </w:rPr>
      </w:pPr>
      <w:r w:rsidRPr="00AB2931">
        <w:rPr>
          <w:rFonts w:ascii="Times New Roman" w:hAnsi="Times New Roman" w:cs="Times New Roman"/>
          <w:i/>
          <w:iCs/>
        </w:rPr>
        <w:t>Vanzacaftorum</w:t>
      </w:r>
      <w:r w:rsidRPr="00AB2931">
        <w:rPr>
          <w:rFonts w:ascii="Times New Roman" w:hAnsi="Times New Roman" w:cs="Times New Roman"/>
        </w:rPr>
        <w:t xml:space="preserve"> (VNZ) un </w:t>
      </w:r>
      <w:r w:rsidRPr="00AB2931">
        <w:rPr>
          <w:rFonts w:ascii="Times New Roman" w:hAnsi="Times New Roman" w:cs="Times New Roman"/>
          <w:i/>
          <w:iCs/>
        </w:rPr>
        <w:t>Tezacaftorum</w:t>
      </w:r>
      <w:r w:rsidRPr="00AB2931">
        <w:rPr>
          <w:rFonts w:ascii="Times New Roman" w:hAnsi="Times New Roman" w:cs="Times New Roman"/>
        </w:rPr>
        <w:t xml:space="preserve"> (TEZ) ir cistiskās fibrozes (CF) transmembrānas vadītspējas regulatora (CFTR) gēna labotāji, kas saistās ar CFTR proteīnu dažādās vietās, un tiem ir papildinoša iedarbība, veicinot atsevišķu mutanto CFTR formu (tostarp </w:t>
      </w:r>
      <w:r w:rsidRPr="00AB2931">
        <w:rPr>
          <w:rFonts w:ascii="Times New Roman" w:hAnsi="Times New Roman" w:cs="Times New Roman"/>
          <w:i/>
          <w:iCs/>
        </w:rPr>
        <w:t>F508del-CFTR</w:t>
      </w:r>
      <w:r w:rsidRPr="00AB2931">
        <w:rPr>
          <w:rFonts w:ascii="Times New Roman" w:hAnsi="Times New Roman" w:cs="Times New Roman"/>
        </w:rPr>
        <w:t xml:space="preserve">) celulāro apstrādi un transportu, palielinot šūnu virsmai piegādātā CFTR proteīna daudzumu, salīdzinot ar jebkuru molekulu atsevišķi. </w:t>
      </w:r>
      <w:r w:rsidRPr="00AB2931">
        <w:rPr>
          <w:rFonts w:ascii="Times New Roman" w:hAnsi="Times New Roman" w:cs="Times New Roman"/>
          <w:i/>
          <w:iCs/>
        </w:rPr>
        <w:t>Deutivacaftorum</w:t>
      </w:r>
      <w:r w:rsidRPr="00AB2931">
        <w:rPr>
          <w:rFonts w:ascii="Times New Roman" w:hAnsi="Times New Roman" w:cs="Times New Roman"/>
        </w:rPr>
        <w:t xml:space="preserve"> (D-IVA) pastiprina CFTR proteīna atvērta kanāla varbūtību (jeb vārtošana) šūnu virsmā. VNZ, TEZ un D-IVA kombinētā iedarbība palielina CFTR daudzumu un pastiprina iedarbību, kas rada palielinātu CFTR aktivitāti, mērot kā CFTR mediētu hlorīdu transportu in vitro un hlorīdu līmeni sviedros (</w:t>
      </w:r>
      <w:r w:rsidRPr="00AB2931">
        <w:rPr>
          <w:rFonts w:ascii="Times New Roman" w:hAnsi="Times New Roman" w:cs="Times New Roman"/>
          <w:i/>
          <w:iCs/>
        </w:rPr>
        <w:t>sweat chloride, SwCl</w:t>
      </w:r>
      <w:r w:rsidRPr="00AB2931">
        <w:rPr>
          <w:rFonts w:ascii="Times New Roman" w:hAnsi="Times New Roman" w:cs="Times New Roman"/>
        </w:rPr>
        <w:t>) cilvēkiem ar CF.</w:t>
      </w:r>
    </w:p>
    <w:p w14:paraId="0768AD7C" w14:textId="77777777" w:rsidR="00636AEF" w:rsidRPr="00AB2931" w:rsidRDefault="00636AEF" w:rsidP="006859B8">
      <w:pPr>
        <w:spacing w:after="0"/>
        <w:jc w:val="both"/>
        <w:rPr>
          <w:rFonts w:ascii="Times New Roman" w:hAnsi="Times New Roman" w:cs="Times New Roman"/>
        </w:rPr>
      </w:pPr>
    </w:p>
    <w:p w14:paraId="25BD41CA" w14:textId="285CB3C1" w:rsidR="00411D80" w:rsidRPr="00AB2931" w:rsidRDefault="00411D80" w:rsidP="006859B8">
      <w:pPr>
        <w:spacing w:after="0"/>
        <w:jc w:val="both"/>
        <w:rPr>
          <w:rFonts w:ascii="Times New Roman" w:hAnsi="Times New Roman" w:cs="Times New Roman"/>
          <w:b/>
          <w:bCs/>
          <w:u w:val="single"/>
        </w:rPr>
      </w:pPr>
      <w:r w:rsidRPr="00AB2931">
        <w:rPr>
          <w:rFonts w:ascii="Times New Roman" w:hAnsi="Times New Roman" w:cs="Times New Roman"/>
          <w:b/>
          <w:bCs/>
          <w:u w:val="single"/>
        </w:rPr>
        <w:t xml:space="preserve">Alyftrek lietošana </w:t>
      </w:r>
    </w:p>
    <w:p w14:paraId="097AE5B6" w14:textId="2F574673" w:rsidR="000B0DEC" w:rsidRPr="00AB2931" w:rsidRDefault="000B0DEC" w:rsidP="006859B8">
      <w:pPr>
        <w:spacing w:after="0"/>
        <w:jc w:val="both"/>
        <w:rPr>
          <w:rFonts w:ascii="Times New Roman" w:hAnsi="Times New Roman" w:cs="Times New Roman"/>
        </w:rPr>
      </w:pPr>
      <w:r w:rsidRPr="00AB2931">
        <w:rPr>
          <w:rFonts w:ascii="Times New Roman" w:hAnsi="Times New Roman" w:cs="Times New Roman"/>
        </w:rPr>
        <w:t>Visiem pacientiem pirms ārstēšanas uzsākšanas, reizi 3 mēnešos pirmajā ārstēšanas gadā un katru gadu pēc tam ir ieteicama transamināžu (ALAT un ASAT) un kopējā bilirubīna līmeņa uzraudzība. Pacientiem, kuriem anamnēzē ir aknu slimība vai paaugstināts transamināžu līmenis, jāapsver biežāka uzraudzība</w:t>
      </w:r>
    </w:p>
    <w:p w14:paraId="4CB385A0" w14:textId="77777777" w:rsidR="0078747A" w:rsidRPr="00AB2931" w:rsidRDefault="0078747A" w:rsidP="006859B8">
      <w:pPr>
        <w:spacing w:after="0"/>
        <w:jc w:val="both"/>
        <w:rPr>
          <w:rFonts w:ascii="Times New Roman" w:hAnsi="Times New Roman" w:cs="Times New Roman"/>
        </w:rPr>
      </w:pPr>
    </w:p>
    <w:tbl>
      <w:tblPr>
        <w:tblStyle w:val="TableGrid"/>
        <w:tblW w:w="0" w:type="auto"/>
        <w:tblLook w:val="04A0" w:firstRow="1" w:lastRow="0" w:firstColumn="1" w:lastColumn="0" w:noHBand="0" w:noVBand="1"/>
      </w:tblPr>
      <w:tblGrid>
        <w:gridCol w:w="1129"/>
        <w:gridCol w:w="1843"/>
        <w:gridCol w:w="5324"/>
      </w:tblGrid>
      <w:tr w:rsidR="0000649F" w:rsidRPr="00AB2931" w14:paraId="60A20F23" w14:textId="77777777" w:rsidTr="00C27971">
        <w:tc>
          <w:tcPr>
            <w:tcW w:w="8296" w:type="dxa"/>
            <w:gridSpan w:val="3"/>
          </w:tcPr>
          <w:p w14:paraId="6C179AFF" w14:textId="2DD16AD5" w:rsidR="0000649F" w:rsidRPr="00AB2931" w:rsidRDefault="0000649F" w:rsidP="006859B8">
            <w:pPr>
              <w:jc w:val="both"/>
              <w:rPr>
                <w:rFonts w:ascii="Times New Roman" w:hAnsi="Times New Roman" w:cs="Times New Roman"/>
                <w:b/>
                <w:bCs/>
              </w:rPr>
            </w:pPr>
            <w:r w:rsidRPr="00AB2931">
              <w:rPr>
                <w:rFonts w:ascii="Times New Roman" w:hAnsi="Times New Roman" w:cs="Times New Roman"/>
                <w:b/>
                <w:bCs/>
              </w:rPr>
              <w:t>Alyftrek devu ieteikumi</w:t>
            </w:r>
          </w:p>
        </w:tc>
      </w:tr>
      <w:tr w:rsidR="0000649F" w:rsidRPr="00AB2931" w14:paraId="100597AA" w14:textId="77777777" w:rsidTr="0000649F">
        <w:tc>
          <w:tcPr>
            <w:tcW w:w="1129" w:type="dxa"/>
          </w:tcPr>
          <w:p w14:paraId="442B9E23" w14:textId="21499C3A" w:rsidR="0000649F" w:rsidRPr="00AB2931" w:rsidRDefault="0000649F" w:rsidP="006859B8">
            <w:pPr>
              <w:jc w:val="both"/>
              <w:rPr>
                <w:rFonts w:ascii="Times New Roman" w:hAnsi="Times New Roman" w:cs="Times New Roman"/>
                <w:b/>
                <w:bCs/>
              </w:rPr>
            </w:pPr>
            <w:r w:rsidRPr="00AB2931">
              <w:rPr>
                <w:rFonts w:ascii="Times New Roman" w:hAnsi="Times New Roman" w:cs="Times New Roman"/>
                <w:b/>
                <w:bCs/>
              </w:rPr>
              <w:t>Vecums</w:t>
            </w:r>
          </w:p>
        </w:tc>
        <w:tc>
          <w:tcPr>
            <w:tcW w:w="1843" w:type="dxa"/>
          </w:tcPr>
          <w:p w14:paraId="585E782F" w14:textId="78216C86" w:rsidR="0000649F" w:rsidRPr="00AB2931" w:rsidRDefault="0000649F" w:rsidP="006859B8">
            <w:pPr>
              <w:jc w:val="both"/>
              <w:rPr>
                <w:rFonts w:ascii="Times New Roman" w:hAnsi="Times New Roman" w:cs="Times New Roman"/>
                <w:b/>
                <w:bCs/>
              </w:rPr>
            </w:pPr>
            <w:r w:rsidRPr="00AB2931">
              <w:rPr>
                <w:rFonts w:ascii="Times New Roman" w:hAnsi="Times New Roman" w:cs="Times New Roman"/>
                <w:b/>
                <w:bCs/>
              </w:rPr>
              <w:t>Ķermeņa masa</w:t>
            </w:r>
          </w:p>
        </w:tc>
        <w:tc>
          <w:tcPr>
            <w:tcW w:w="5324" w:type="dxa"/>
          </w:tcPr>
          <w:p w14:paraId="3B358A40" w14:textId="4216F31D" w:rsidR="0000649F" w:rsidRPr="00AB2931" w:rsidRDefault="0000649F" w:rsidP="006859B8">
            <w:pPr>
              <w:jc w:val="both"/>
              <w:rPr>
                <w:rFonts w:ascii="Times New Roman" w:hAnsi="Times New Roman" w:cs="Times New Roman"/>
                <w:b/>
                <w:bCs/>
              </w:rPr>
            </w:pPr>
            <w:r w:rsidRPr="00AB2931">
              <w:rPr>
                <w:rFonts w:ascii="Times New Roman" w:hAnsi="Times New Roman" w:cs="Times New Roman"/>
                <w:b/>
                <w:bCs/>
              </w:rPr>
              <w:t>Dienas deva (reizi dienā)</w:t>
            </w:r>
          </w:p>
        </w:tc>
      </w:tr>
      <w:tr w:rsidR="0000649F" w:rsidRPr="00AB2931" w14:paraId="1DC2F710" w14:textId="77777777" w:rsidTr="0000649F">
        <w:tc>
          <w:tcPr>
            <w:tcW w:w="1129" w:type="dxa"/>
            <w:vMerge w:val="restart"/>
          </w:tcPr>
          <w:p w14:paraId="41980323" w14:textId="4B62A534" w:rsidR="0000649F" w:rsidRPr="00AB2931" w:rsidRDefault="0000649F" w:rsidP="006859B8">
            <w:pPr>
              <w:jc w:val="both"/>
              <w:rPr>
                <w:rFonts w:ascii="Times New Roman" w:hAnsi="Times New Roman" w:cs="Times New Roman"/>
              </w:rPr>
            </w:pPr>
            <w:r w:rsidRPr="00AB2931">
              <w:rPr>
                <w:rFonts w:ascii="Times New Roman" w:hAnsi="Times New Roman" w:cs="Times New Roman"/>
              </w:rPr>
              <w:t>≥6 gadi</w:t>
            </w:r>
          </w:p>
        </w:tc>
        <w:tc>
          <w:tcPr>
            <w:tcW w:w="1843" w:type="dxa"/>
          </w:tcPr>
          <w:p w14:paraId="7FBD4042" w14:textId="73B70F3B" w:rsidR="0000649F" w:rsidRPr="00AB2931" w:rsidRDefault="0000649F" w:rsidP="006859B8">
            <w:pPr>
              <w:jc w:val="both"/>
              <w:rPr>
                <w:rFonts w:ascii="Times New Roman" w:hAnsi="Times New Roman" w:cs="Times New Roman"/>
              </w:rPr>
            </w:pPr>
            <w:r w:rsidRPr="00AB2931">
              <w:rPr>
                <w:rFonts w:ascii="Times New Roman" w:hAnsi="Times New Roman" w:cs="Times New Roman"/>
              </w:rPr>
              <w:t>&lt;40 kg</w:t>
            </w:r>
          </w:p>
        </w:tc>
        <w:tc>
          <w:tcPr>
            <w:tcW w:w="5324" w:type="dxa"/>
          </w:tcPr>
          <w:p w14:paraId="1A572F6C" w14:textId="36EB8D4A" w:rsidR="0000649F" w:rsidRPr="00AB2931" w:rsidRDefault="0000649F" w:rsidP="006859B8">
            <w:pPr>
              <w:jc w:val="both"/>
              <w:rPr>
                <w:rFonts w:ascii="Times New Roman" w:hAnsi="Times New Roman" w:cs="Times New Roman"/>
              </w:rPr>
            </w:pPr>
            <w:r w:rsidRPr="00AB2931">
              <w:rPr>
                <w:rFonts w:ascii="Times New Roman" w:hAnsi="Times New Roman" w:cs="Times New Roman"/>
              </w:rPr>
              <w:t>Trīs deitivakaftora 50 mg/tezakaftora 20 mg/vanzakaftora 4 mg tabletes</w:t>
            </w:r>
          </w:p>
        </w:tc>
      </w:tr>
      <w:tr w:rsidR="0000649F" w:rsidRPr="00AB2931" w14:paraId="766A46EC" w14:textId="77777777" w:rsidTr="0000649F">
        <w:tc>
          <w:tcPr>
            <w:tcW w:w="1129" w:type="dxa"/>
            <w:vMerge/>
          </w:tcPr>
          <w:p w14:paraId="5B8CD676" w14:textId="77777777" w:rsidR="0000649F" w:rsidRPr="00AB2931" w:rsidRDefault="0000649F" w:rsidP="006859B8">
            <w:pPr>
              <w:jc w:val="both"/>
              <w:rPr>
                <w:rFonts w:ascii="Times New Roman" w:hAnsi="Times New Roman" w:cs="Times New Roman"/>
              </w:rPr>
            </w:pPr>
          </w:p>
        </w:tc>
        <w:tc>
          <w:tcPr>
            <w:tcW w:w="1843" w:type="dxa"/>
          </w:tcPr>
          <w:p w14:paraId="450C48CE" w14:textId="4B50FBD3" w:rsidR="0000649F" w:rsidRPr="00AB2931" w:rsidRDefault="0000649F" w:rsidP="006859B8">
            <w:pPr>
              <w:jc w:val="both"/>
              <w:rPr>
                <w:rFonts w:ascii="Times New Roman" w:hAnsi="Times New Roman" w:cs="Times New Roman"/>
              </w:rPr>
            </w:pPr>
            <w:r w:rsidRPr="00AB2931">
              <w:rPr>
                <w:rFonts w:ascii="Times New Roman" w:hAnsi="Times New Roman" w:cs="Times New Roman"/>
              </w:rPr>
              <w:t>≥40 kg</w:t>
            </w:r>
          </w:p>
        </w:tc>
        <w:tc>
          <w:tcPr>
            <w:tcW w:w="5324" w:type="dxa"/>
          </w:tcPr>
          <w:p w14:paraId="0351DBCF" w14:textId="2CB3184D" w:rsidR="0000649F" w:rsidRPr="00AB2931" w:rsidRDefault="0000649F" w:rsidP="006859B8">
            <w:pPr>
              <w:jc w:val="both"/>
              <w:rPr>
                <w:rFonts w:ascii="Times New Roman" w:hAnsi="Times New Roman" w:cs="Times New Roman"/>
              </w:rPr>
            </w:pPr>
            <w:r w:rsidRPr="00AB2931">
              <w:rPr>
                <w:rFonts w:ascii="Times New Roman" w:hAnsi="Times New Roman" w:cs="Times New Roman"/>
              </w:rPr>
              <w:t>Divas deitivakaftora 125 mg/tezakaftora 50 mg/vanzakaftora 10 mg tabletes.</w:t>
            </w:r>
          </w:p>
        </w:tc>
      </w:tr>
    </w:tbl>
    <w:p w14:paraId="2777423C" w14:textId="6C5D828E" w:rsidR="00A535B7" w:rsidRDefault="00A535B7" w:rsidP="006859B8">
      <w:pPr>
        <w:spacing w:after="0"/>
        <w:jc w:val="both"/>
        <w:rPr>
          <w:rFonts w:ascii="Times New Roman" w:hAnsi="Times New Roman" w:cs="Times New Roman"/>
        </w:rPr>
      </w:pPr>
      <w:r w:rsidRPr="00AB2931">
        <w:rPr>
          <w:rFonts w:ascii="Times New Roman" w:hAnsi="Times New Roman" w:cs="Times New Roman"/>
        </w:rPr>
        <w:t xml:space="preserve">Katra deva ir jālieto pilnībā kopā ar uzturu, kas satur taukus, reizi dienā aptuveni vienā </w:t>
      </w:r>
      <w:r w:rsidR="00A50F16" w:rsidRPr="00AB2931">
        <w:rPr>
          <w:rFonts w:ascii="Times New Roman" w:hAnsi="Times New Roman" w:cs="Times New Roman"/>
        </w:rPr>
        <w:t>un tajā pašā laikā.</w:t>
      </w:r>
      <w:r w:rsidR="00D0452B">
        <w:rPr>
          <w:rFonts w:ascii="Times New Roman" w:hAnsi="Times New Roman" w:cs="Times New Roman"/>
        </w:rPr>
        <w:t xml:space="preserve"> </w:t>
      </w:r>
    </w:p>
    <w:p w14:paraId="3EBE09A3" w14:textId="77777777" w:rsidR="00A50F16" w:rsidRPr="00AB2931" w:rsidRDefault="00A50F16" w:rsidP="006859B8">
      <w:pPr>
        <w:spacing w:after="0"/>
        <w:jc w:val="both"/>
        <w:rPr>
          <w:rFonts w:ascii="Times New Roman" w:hAnsi="Times New Roman" w:cs="Times New Roman"/>
        </w:rPr>
      </w:pPr>
    </w:p>
    <w:p w14:paraId="6FF876EC" w14:textId="59D6FB65" w:rsidR="00636AEF" w:rsidRPr="00AB2931" w:rsidRDefault="00636AEF" w:rsidP="006859B8">
      <w:pPr>
        <w:spacing w:after="0"/>
        <w:jc w:val="both"/>
        <w:rPr>
          <w:rFonts w:ascii="Times New Roman" w:hAnsi="Times New Roman" w:cs="Times New Roman"/>
          <w:b/>
          <w:bCs/>
          <w:u w:val="single"/>
        </w:rPr>
      </w:pPr>
      <w:r w:rsidRPr="00AB2931">
        <w:rPr>
          <w:rFonts w:ascii="Times New Roman" w:hAnsi="Times New Roman" w:cs="Times New Roman"/>
          <w:b/>
          <w:bCs/>
          <w:u w:val="single"/>
        </w:rPr>
        <w:t xml:space="preserve">Kritēriji </w:t>
      </w:r>
      <w:r w:rsidRPr="00AB2931">
        <w:rPr>
          <w:rFonts w:ascii="Times New Roman" w:hAnsi="Times New Roman" w:cs="Times New Roman"/>
          <w:b/>
          <w:bCs/>
          <w:i/>
          <w:iCs/>
          <w:u w:val="single"/>
        </w:rPr>
        <w:t xml:space="preserve">Deutivacaftorum/ Tezacaftorum/ Vanzacaftorum </w:t>
      </w:r>
      <w:r w:rsidRPr="00AB2931">
        <w:rPr>
          <w:rFonts w:ascii="Times New Roman" w:hAnsi="Times New Roman" w:cs="Times New Roman"/>
          <w:b/>
          <w:bCs/>
          <w:u w:val="single"/>
        </w:rPr>
        <w:t>terapijas uzsākšanai:</w:t>
      </w:r>
    </w:p>
    <w:p w14:paraId="307CE028" w14:textId="3622AEA3" w:rsidR="00636AEF" w:rsidRPr="00AB2931" w:rsidRDefault="001A36BC" w:rsidP="006859B8">
      <w:pPr>
        <w:pStyle w:val="ListParagraph"/>
        <w:numPr>
          <w:ilvl w:val="0"/>
          <w:numId w:val="1"/>
        </w:numPr>
        <w:spacing w:after="0"/>
        <w:jc w:val="both"/>
        <w:rPr>
          <w:rFonts w:ascii="Times New Roman" w:hAnsi="Times New Roman" w:cs="Times New Roman"/>
        </w:rPr>
      </w:pPr>
      <w:r w:rsidRPr="00AB2931">
        <w:rPr>
          <w:rFonts w:ascii="Times New Roman" w:hAnsi="Times New Roman" w:cs="Times New Roman"/>
        </w:rPr>
        <w:t>Pacienta vecums</w:t>
      </w:r>
      <w:r w:rsidR="001F6C1C" w:rsidRPr="00AB2931">
        <w:rPr>
          <w:rFonts w:ascii="Times New Roman" w:hAnsi="Times New Roman" w:cs="Times New Roman"/>
        </w:rPr>
        <w:t xml:space="preserve"> no</w:t>
      </w:r>
      <w:r w:rsidRPr="00AB2931">
        <w:rPr>
          <w:rFonts w:ascii="Times New Roman" w:hAnsi="Times New Roman" w:cs="Times New Roman"/>
        </w:rPr>
        <w:t xml:space="preserve"> 6 gadi</w:t>
      </w:r>
      <w:r w:rsidR="001F6C1C" w:rsidRPr="00AB2931">
        <w:rPr>
          <w:rFonts w:ascii="Times New Roman" w:hAnsi="Times New Roman" w:cs="Times New Roman"/>
        </w:rPr>
        <w:t>em</w:t>
      </w:r>
      <w:r w:rsidRPr="00AB2931">
        <w:rPr>
          <w:rFonts w:ascii="Times New Roman" w:hAnsi="Times New Roman" w:cs="Times New Roman"/>
        </w:rPr>
        <w:t>;</w:t>
      </w:r>
    </w:p>
    <w:p w14:paraId="5FC83711" w14:textId="0774F49A" w:rsidR="007103B4" w:rsidRPr="00AB2931" w:rsidRDefault="006859B8" w:rsidP="009330DB">
      <w:pPr>
        <w:pStyle w:val="ListParagraph"/>
        <w:numPr>
          <w:ilvl w:val="0"/>
          <w:numId w:val="1"/>
        </w:numPr>
        <w:spacing w:after="0" w:line="300" w:lineRule="atLeast"/>
        <w:jc w:val="both"/>
        <w:rPr>
          <w:rFonts w:ascii="Times New Roman" w:eastAsia="Times New Roman" w:hAnsi="Times New Roman" w:cs="Times New Roman"/>
          <w:kern w:val="0"/>
          <w:lang w:eastAsia="lv-LV"/>
          <w14:ligatures w14:val="none"/>
        </w:rPr>
      </w:pPr>
      <w:r w:rsidRPr="00AB2931">
        <w:rPr>
          <w:rFonts w:ascii="Times New Roman" w:eastAsia="Times New Roman" w:hAnsi="Times New Roman" w:cs="Times New Roman"/>
          <w:kern w:val="0"/>
          <w:lang w:eastAsia="lv-LV"/>
          <w14:ligatures w14:val="none"/>
        </w:rPr>
        <w:t xml:space="preserve">Apstiprināta cistiskās fibrozes diagnoze, un pacientam konstatēta </w:t>
      </w:r>
      <w:r w:rsidR="009330DB" w:rsidRPr="00AB2931">
        <w:rPr>
          <w:rFonts w:ascii="Times New Roman" w:eastAsia="Times New Roman" w:hAnsi="Times New Roman" w:cs="Times New Roman"/>
          <w:i/>
          <w:iCs/>
          <w:kern w:val="0"/>
          <w:lang w:eastAsia="lv-LV"/>
          <w14:ligatures w14:val="none"/>
        </w:rPr>
        <w:t> </w:t>
      </w:r>
      <w:r w:rsidR="009330DB" w:rsidRPr="00AB2931">
        <w:rPr>
          <w:rFonts w:ascii="Times New Roman" w:eastAsia="Times New Roman" w:hAnsi="Times New Roman" w:cs="Times New Roman"/>
          <w:kern w:val="0"/>
          <w:lang w:eastAsia="lv-LV"/>
          <w14:ligatures w14:val="none"/>
        </w:rPr>
        <w:t xml:space="preserve">vismaz viena </w:t>
      </w:r>
      <w:r w:rsidR="009330DB" w:rsidRPr="00AB2931">
        <w:rPr>
          <w:rFonts w:ascii="Times New Roman" w:eastAsia="Times New Roman" w:hAnsi="Times New Roman" w:cs="Times New Roman"/>
          <w:i/>
          <w:iCs/>
          <w:kern w:val="0"/>
          <w:lang w:eastAsia="lv-LV"/>
          <w14:ligatures w14:val="none"/>
        </w:rPr>
        <w:t>F508del</w:t>
      </w:r>
      <w:r w:rsidR="009330DB" w:rsidRPr="00AB2931">
        <w:rPr>
          <w:rFonts w:ascii="Times New Roman" w:eastAsia="Times New Roman" w:hAnsi="Times New Roman" w:cs="Times New Roman"/>
          <w:kern w:val="0"/>
          <w:lang w:eastAsia="lv-LV"/>
          <w14:ligatures w14:val="none"/>
        </w:rPr>
        <w:t xml:space="preserve"> vai cita mutācija CFTR gēnā, kas nav I klases mutācija</w:t>
      </w:r>
      <w:r w:rsidR="008967DE" w:rsidRPr="00AB2931">
        <w:rPr>
          <w:rFonts w:ascii="Times New Roman" w:eastAsia="Times New Roman" w:hAnsi="Times New Roman" w:cs="Times New Roman"/>
          <w:kern w:val="0"/>
          <w:lang w:eastAsia="lv-LV"/>
          <w14:ligatures w14:val="none"/>
        </w:rPr>
        <w:t>;</w:t>
      </w:r>
    </w:p>
    <w:p w14:paraId="56A867E2" w14:textId="62FF035F" w:rsidR="00EC1341" w:rsidRPr="00AB2931" w:rsidRDefault="00E72963" w:rsidP="006859B8">
      <w:pPr>
        <w:pStyle w:val="ListParagraph"/>
        <w:numPr>
          <w:ilvl w:val="0"/>
          <w:numId w:val="1"/>
        </w:numPr>
        <w:spacing w:after="0"/>
        <w:jc w:val="both"/>
        <w:rPr>
          <w:rFonts w:ascii="Times New Roman" w:hAnsi="Times New Roman" w:cs="Times New Roman"/>
        </w:rPr>
      </w:pPr>
      <w:r w:rsidRPr="00AB2931">
        <w:rPr>
          <w:rFonts w:ascii="Times New Roman" w:hAnsi="Times New Roman" w:cs="Times New Roman"/>
        </w:rPr>
        <w:t xml:space="preserve">Pirms terapijas uzsākšanas izvērtējama aknu funkcija (ALAT, ASAT, sārmainā fosfatāze un bilirubīns), un terapijas laikā nodrošināma regulāra aknu funkcijas monitorēšana atbilstoši zāļu aprakstam. </w:t>
      </w:r>
      <w:r w:rsidR="00EC1341" w:rsidRPr="00AB2931">
        <w:rPr>
          <w:rFonts w:ascii="Times New Roman" w:hAnsi="Times New Roman" w:cs="Times New Roman"/>
        </w:rPr>
        <w:t>Pacientiem ar vidēji smagiem aknu darbības traucējumiem (</w:t>
      </w:r>
      <w:r w:rsidR="00EC1341" w:rsidRPr="00AB2931">
        <w:rPr>
          <w:rFonts w:ascii="Times New Roman" w:hAnsi="Times New Roman" w:cs="Times New Roman"/>
          <w:i/>
          <w:iCs/>
        </w:rPr>
        <w:t>Child–Pugh</w:t>
      </w:r>
      <w:r w:rsidR="00EC1341" w:rsidRPr="00AB2931">
        <w:rPr>
          <w:rFonts w:ascii="Times New Roman" w:hAnsi="Times New Roman" w:cs="Times New Roman"/>
        </w:rPr>
        <w:t xml:space="preserve"> B) terapija nav ieteicama, izņemot gadījumus, kad paredzamais ieguvums pārsniedz iespējamo risku; pacientiem ar smagiem aknu darbības traucējumiem (</w:t>
      </w:r>
      <w:r w:rsidR="00EC1341" w:rsidRPr="00AB2931">
        <w:rPr>
          <w:rFonts w:ascii="Times New Roman" w:hAnsi="Times New Roman" w:cs="Times New Roman"/>
          <w:i/>
          <w:iCs/>
        </w:rPr>
        <w:t>Child–Pugh</w:t>
      </w:r>
      <w:r w:rsidR="00EC1341" w:rsidRPr="00AB2931">
        <w:rPr>
          <w:rFonts w:ascii="Times New Roman" w:hAnsi="Times New Roman" w:cs="Times New Roman"/>
        </w:rPr>
        <w:t xml:space="preserve"> C) terapiju nelieto</w:t>
      </w:r>
      <w:r w:rsidR="00B3661B">
        <w:rPr>
          <w:rFonts w:ascii="Times New Roman" w:hAnsi="Times New Roman" w:cs="Times New Roman"/>
        </w:rPr>
        <w:t>;</w:t>
      </w:r>
    </w:p>
    <w:p w14:paraId="57623703" w14:textId="77777777" w:rsidR="00792C48" w:rsidRDefault="00400BA6" w:rsidP="00B620C7">
      <w:pPr>
        <w:pStyle w:val="ListParagraph"/>
        <w:numPr>
          <w:ilvl w:val="0"/>
          <w:numId w:val="1"/>
        </w:numPr>
        <w:spacing w:after="0"/>
        <w:jc w:val="both"/>
        <w:rPr>
          <w:rFonts w:ascii="Times New Roman" w:hAnsi="Times New Roman" w:cs="Times New Roman"/>
        </w:rPr>
      </w:pPr>
      <w:r w:rsidRPr="00AB2931">
        <w:rPr>
          <w:rFonts w:ascii="Times New Roman" w:hAnsi="Times New Roman" w:cs="Times New Roman"/>
        </w:rPr>
        <w:t>Augsta piesardzība</w:t>
      </w:r>
      <w:r w:rsidR="008967DE" w:rsidRPr="00AB2931">
        <w:rPr>
          <w:rFonts w:ascii="Times New Roman" w:hAnsi="Times New Roman" w:cs="Times New Roman"/>
        </w:rPr>
        <w:t xml:space="preserve"> </w:t>
      </w:r>
      <w:r w:rsidRPr="00AB2931">
        <w:rPr>
          <w:rFonts w:ascii="Times New Roman" w:hAnsi="Times New Roman" w:cs="Times New Roman"/>
        </w:rPr>
        <w:t>(jāizvērtē individuāli)</w:t>
      </w:r>
      <w:r w:rsidR="008D36CF">
        <w:rPr>
          <w:rFonts w:ascii="Times New Roman" w:hAnsi="Times New Roman" w:cs="Times New Roman"/>
        </w:rPr>
        <w:t xml:space="preserve"> pacientiem</w:t>
      </w:r>
      <w:r w:rsidR="00792C48">
        <w:rPr>
          <w:rFonts w:ascii="Times New Roman" w:hAnsi="Times New Roman" w:cs="Times New Roman"/>
        </w:rPr>
        <w:t>:</w:t>
      </w:r>
    </w:p>
    <w:p w14:paraId="102B9EFB" w14:textId="32754198" w:rsidR="008D36CF" w:rsidRDefault="008D36CF" w:rsidP="00792C48">
      <w:pPr>
        <w:pStyle w:val="ListParagraph"/>
        <w:numPr>
          <w:ilvl w:val="0"/>
          <w:numId w:val="13"/>
        </w:numPr>
        <w:spacing w:after="0"/>
        <w:jc w:val="both"/>
        <w:rPr>
          <w:rFonts w:ascii="Times New Roman" w:hAnsi="Times New Roman" w:cs="Times New Roman"/>
        </w:rPr>
      </w:pPr>
      <w:r w:rsidRPr="00B620C7">
        <w:rPr>
          <w:rFonts w:ascii="Times New Roman" w:hAnsi="Times New Roman" w:cs="Times New Roman"/>
        </w:rPr>
        <w:t>grūtniecības gadījumā;</w:t>
      </w:r>
    </w:p>
    <w:p w14:paraId="634BBD0A" w14:textId="77777777" w:rsidR="00E83F8D" w:rsidRDefault="00792C48" w:rsidP="00E83F8D">
      <w:pPr>
        <w:pStyle w:val="ListParagraph"/>
        <w:numPr>
          <w:ilvl w:val="0"/>
          <w:numId w:val="13"/>
        </w:numPr>
        <w:spacing w:after="0"/>
        <w:jc w:val="both"/>
        <w:rPr>
          <w:rFonts w:ascii="Times New Roman" w:hAnsi="Times New Roman" w:cs="Times New Roman"/>
        </w:rPr>
      </w:pPr>
      <w:r w:rsidRPr="00E37448">
        <w:rPr>
          <w:rFonts w:ascii="Times New Roman" w:hAnsi="Times New Roman" w:cs="Times New Roman"/>
        </w:rPr>
        <w:lastRenderedPageBreak/>
        <w:t>pēc orgānu transplantācijas</w:t>
      </w:r>
      <w:r w:rsidR="00F9092B">
        <w:rPr>
          <w:rFonts w:ascii="Times New Roman" w:hAnsi="Times New Roman" w:cs="Times New Roman"/>
        </w:rPr>
        <w:t>;</w:t>
      </w:r>
    </w:p>
    <w:p w14:paraId="4D4F677B" w14:textId="76D836D5" w:rsidR="00E83F8D" w:rsidRPr="00E83F8D" w:rsidRDefault="0070253A" w:rsidP="00E83F8D">
      <w:pPr>
        <w:pStyle w:val="ListParagraph"/>
        <w:numPr>
          <w:ilvl w:val="0"/>
          <w:numId w:val="13"/>
        </w:numPr>
        <w:spacing w:after="0"/>
        <w:jc w:val="both"/>
        <w:rPr>
          <w:rFonts w:ascii="Times New Roman" w:hAnsi="Times New Roman" w:cs="Times New Roman"/>
        </w:rPr>
      </w:pPr>
      <w:r w:rsidRPr="00E83F8D">
        <w:rPr>
          <w:rFonts w:ascii="Times New Roman" w:hAnsi="Times New Roman" w:cs="Times New Roman"/>
        </w:rPr>
        <w:t>ar</w:t>
      </w:r>
      <w:r w:rsidR="002034AB" w:rsidRPr="00E83F8D">
        <w:rPr>
          <w:rFonts w:ascii="Times New Roman" w:hAnsi="Times New Roman" w:cs="Times New Roman"/>
        </w:rPr>
        <w:t xml:space="preserve"> </w:t>
      </w:r>
      <w:r w:rsidR="00E83F8D" w:rsidRPr="00E83F8D">
        <w:rPr>
          <w:rFonts w:ascii="Times New Roman" w:hAnsi="Times New Roman" w:cs="Times New Roman"/>
        </w:rPr>
        <w:t xml:space="preserve">fiksētu </w:t>
      </w:r>
      <w:r w:rsidR="00E83F8D" w:rsidRPr="00E83F8D">
        <w:rPr>
          <w:rFonts w:ascii="Times New Roman" w:hAnsi="Times New Roman" w:cs="Times New Roman"/>
          <w:i/>
          <w:iCs/>
        </w:rPr>
        <w:t xml:space="preserve">Ivacaftorum/ Tezacaftorum/ Elexacaftorum </w:t>
      </w:r>
      <w:r w:rsidR="00E83F8D" w:rsidRPr="00E83F8D">
        <w:rPr>
          <w:rFonts w:ascii="Times New Roman" w:hAnsi="Times New Roman" w:cs="Times New Roman"/>
        </w:rPr>
        <w:t>terapijas nepanesamību</w:t>
      </w:r>
      <w:r w:rsidR="00836E8A">
        <w:rPr>
          <w:rFonts w:ascii="Times New Roman" w:hAnsi="Times New Roman" w:cs="Times New Roman"/>
        </w:rPr>
        <w:t xml:space="preserve"> </w:t>
      </w:r>
      <w:r w:rsidR="00836E8A" w:rsidRPr="00E83F8D">
        <w:rPr>
          <w:rFonts w:ascii="Times New Roman" w:hAnsi="Times New Roman" w:cs="Times New Roman"/>
        </w:rPr>
        <w:t>medicīnisk</w:t>
      </w:r>
      <w:r w:rsidR="00836E8A">
        <w:rPr>
          <w:rFonts w:ascii="Times New Roman" w:hAnsi="Times New Roman" w:cs="Times New Roman"/>
        </w:rPr>
        <w:t xml:space="preserve">ajā </w:t>
      </w:r>
      <w:r w:rsidR="00836E8A" w:rsidRPr="00E83F8D">
        <w:rPr>
          <w:rFonts w:ascii="Times New Roman" w:hAnsi="Times New Roman" w:cs="Times New Roman"/>
        </w:rPr>
        <w:t>dokumentācijā</w:t>
      </w:r>
      <w:r w:rsidR="00836E8A">
        <w:rPr>
          <w:rFonts w:ascii="Times New Roman" w:hAnsi="Times New Roman" w:cs="Times New Roman"/>
        </w:rPr>
        <w:t>.</w:t>
      </w:r>
    </w:p>
    <w:p w14:paraId="733BB8B3" w14:textId="32ADB6ED" w:rsidR="00BB0355" w:rsidRPr="00E83F8D" w:rsidRDefault="00BB0355" w:rsidP="00BB0355">
      <w:pPr>
        <w:pStyle w:val="ListParagraph"/>
        <w:numPr>
          <w:ilvl w:val="0"/>
          <w:numId w:val="1"/>
        </w:numPr>
        <w:spacing w:after="0"/>
        <w:jc w:val="both"/>
        <w:rPr>
          <w:rFonts w:ascii="Times New Roman" w:hAnsi="Times New Roman" w:cs="Times New Roman"/>
        </w:rPr>
      </w:pPr>
      <w:r w:rsidRPr="00E83F8D">
        <w:rPr>
          <w:rFonts w:ascii="Times New Roman" w:hAnsi="Times New Roman" w:cs="Times New Roman"/>
        </w:rPr>
        <w:t>Līdzestīgs CF pacients/ģimene iepriekš nozīmētai un lietotai simptomātiskai terapijai</w:t>
      </w:r>
      <w:r w:rsidR="00116FB4" w:rsidRPr="00E83F8D">
        <w:rPr>
          <w:rFonts w:ascii="Times New Roman" w:hAnsi="Times New Roman" w:cs="Times New Roman"/>
        </w:rPr>
        <w:t>.</w:t>
      </w:r>
    </w:p>
    <w:p w14:paraId="18F09F7E" w14:textId="52280894" w:rsidR="00400BA6" w:rsidRPr="00B620C7" w:rsidRDefault="00400BA6" w:rsidP="006859B8">
      <w:pPr>
        <w:numPr>
          <w:ilvl w:val="0"/>
          <w:numId w:val="1"/>
        </w:numPr>
        <w:spacing w:after="0" w:line="276" w:lineRule="auto"/>
        <w:jc w:val="both"/>
        <w:rPr>
          <w:rFonts w:ascii="Times New Roman" w:hAnsi="Times New Roman" w:cs="Times New Roman"/>
        </w:rPr>
      </w:pPr>
      <w:r w:rsidRPr="00B620C7">
        <w:rPr>
          <w:rFonts w:ascii="Times New Roman" w:hAnsi="Times New Roman" w:cs="Times New Roman"/>
        </w:rPr>
        <w:t>Pacienta vai viņa likumīgā pārstāvja vēlme nav kritērijs terapijas uzsākšanai.</w:t>
      </w:r>
    </w:p>
    <w:p w14:paraId="6C4488D6" w14:textId="77777777" w:rsidR="00842B51" w:rsidRPr="00AB2931" w:rsidRDefault="00842B51" w:rsidP="00842B51">
      <w:pPr>
        <w:spacing w:after="0" w:line="276" w:lineRule="auto"/>
        <w:ind w:left="720"/>
        <w:jc w:val="both"/>
        <w:rPr>
          <w:rFonts w:ascii="Times New Roman" w:hAnsi="Times New Roman" w:cs="Times New Roman"/>
        </w:rPr>
      </w:pPr>
    </w:p>
    <w:p w14:paraId="36CA1A62" w14:textId="77777777" w:rsidR="00567F83" w:rsidRPr="00AB2931" w:rsidRDefault="00567F83" w:rsidP="00B87A0E">
      <w:pPr>
        <w:spacing w:after="0"/>
        <w:jc w:val="both"/>
        <w:rPr>
          <w:rFonts w:ascii="Times New Roman" w:hAnsi="Times New Roman" w:cs="Times New Roman"/>
        </w:rPr>
      </w:pPr>
    </w:p>
    <w:p w14:paraId="5773BCB9" w14:textId="50C517F9" w:rsidR="00567F83" w:rsidRPr="00AB2931" w:rsidRDefault="00567F83" w:rsidP="006859B8">
      <w:pPr>
        <w:spacing w:after="0"/>
        <w:jc w:val="both"/>
        <w:rPr>
          <w:rFonts w:ascii="Times New Roman" w:hAnsi="Times New Roman" w:cs="Times New Roman"/>
          <w:b/>
          <w:bCs/>
          <w:u w:val="single"/>
        </w:rPr>
      </w:pPr>
      <w:r w:rsidRPr="00AB2931">
        <w:rPr>
          <w:rFonts w:ascii="Times New Roman" w:hAnsi="Times New Roman" w:cs="Times New Roman"/>
          <w:b/>
          <w:bCs/>
          <w:i/>
          <w:iCs/>
          <w:u w:val="single"/>
        </w:rPr>
        <w:t>Deutivacaftorum/ Tezacaftorum/ Vanzacaftorum</w:t>
      </w:r>
      <w:r w:rsidRPr="00AB2931">
        <w:rPr>
          <w:rFonts w:ascii="Times New Roman" w:hAnsi="Times New Roman" w:cs="Times New Roman"/>
          <w:b/>
          <w:bCs/>
          <w:u w:val="single"/>
        </w:rPr>
        <w:t xml:space="preserve"> pārtraukšanas kritēriji:</w:t>
      </w:r>
    </w:p>
    <w:p w14:paraId="0536AD93" w14:textId="6231DE4D" w:rsidR="002B5DAC" w:rsidRPr="00AB2931" w:rsidRDefault="00B10D2B" w:rsidP="006859B8">
      <w:pPr>
        <w:pStyle w:val="ListParagraph"/>
        <w:numPr>
          <w:ilvl w:val="0"/>
          <w:numId w:val="3"/>
        </w:numPr>
        <w:spacing w:after="0"/>
        <w:jc w:val="both"/>
        <w:rPr>
          <w:rFonts w:ascii="Times New Roman" w:hAnsi="Times New Roman" w:cs="Times New Roman"/>
        </w:rPr>
      </w:pPr>
      <w:r w:rsidRPr="00AB2931">
        <w:rPr>
          <w:rFonts w:ascii="Times New Roman" w:hAnsi="Times New Roman" w:cs="Times New Roman"/>
        </w:rPr>
        <w:t>Dokumentēti s</w:t>
      </w:r>
      <w:r w:rsidR="004D431C" w:rsidRPr="00AB2931">
        <w:rPr>
          <w:rFonts w:ascii="Times New Roman" w:hAnsi="Times New Roman" w:cs="Times New Roman"/>
        </w:rPr>
        <w:t xml:space="preserve">magi aknu darbības traucējumi (C klase pēc </w:t>
      </w:r>
      <w:r w:rsidR="0033461B" w:rsidRPr="00AB2931">
        <w:rPr>
          <w:rFonts w:ascii="Times New Roman" w:hAnsi="Times New Roman" w:cs="Times New Roman"/>
          <w:i/>
          <w:iCs/>
        </w:rPr>
        <w:t>Child-Pugh</w:t>
      </w:r>
      <w:r w:rsidR="0033461B" w:rsidRPr="00AB2931">
        <w:rPr>
          <w:rFonts w:ascii="Times New Roman" w:hAnsi="Times New Roman" w:cs="Times New Roman"/>
        </w:rPr>
        <w:t xml:space="preserve"> </w:t>
      </w:r>
      <w:r w:rsidR="004D431C" w:rsidRPr="00AB2931">
        <w:rPr>
          <w:rFonts w:ascii="Times New Roman" w:hAnsi="Times New Roman" w:cs="Times New Roman"/>
        </w:rPr>
        <w:t>skalas)</w:t>
      </w:r>
      <w:r w:rsidR="00400BA6" w:rsidRPr="00AB2931">
        <w:rPr>
          <w:rFonts w:ascii="Times New Roman" w:hAnsi="Times New Roman" w:cs="Times New Roman"/>
        </w:rPr>
        <w:t xml:space="preserve">. </w:t>
      </w:r>
      <w:r w:rsidR="002B5DAC" w:rsidRPr="00AB2931">
        <w:rPr>
          <w:rFonts w:ascii="Times New Roman" w:hAnsi="Times New Roman" w:cs="Times New Roman"/>
        </w:rPr>
        <w:t>Transamināžu un bilirubīna līmenis:</w:t>
      </w:r>
    </w:p>
    <w:p w14:paraId="5A749F17" w14:textId="77777777" w:rsidR="002B5DAC" w:rsidRPr="00AB2931" w:rsidRDefault="004D431C" w:rsidP="006859B8">
      <w:pPr>
        <w:pStyle w:val="ListParagraph"/>
        <w:numPr>
          <w:ilvl w:val="0"/>
          <w:numId w:val="7"/>
        </w:numPr>
        <w:spacing w:after="0"/>
        <w:jc w:val="both"/>
        <w:rPr>
          <w:rFonts w:ascii="Times New Roman" w:hAnsi="Times New Roman" w:cs="Times New Roman"/>
        </w:rPr>
      </w:pPr>
      <w:r w:rsidRPr="00AB2931">
        <w:rPr>
          <w:rFonts w:ascii="Times New Roman" w:hAnsi="Times New Roman" w:cs="Times New Roman"/>
        </w:rPr>
        <w:t xml:space="preserve">ALAT vai AST &gt; 5 × normas augšējā robeža (NAR) vai </w:t>
      </w:r>
    </w:p>
    <w:p w14:paraId="7F86C735" w14:textId="72F73B3B" w:rsidR="00340A0F" w:rsidRPr="00AB2931" w:rsidRDefault="004D431C" w:rsidP="006859B8">
      <w:pPr>
        <w:pStyle w:val="ListParagraph"/>
        <w:numPr>
          <w:ilvl w:val="0"/>
          <w:numId w:val="7"/>
        </w:numPr>
        <w:spacing w:after="0"/>
        <w:jc w:val="both"/>
        <w:rPr>
          <w:rFonts w:ascii="Times New Roman" w:hAnsi="Times New Roman" w:cs="Times New Roman"/>
        </w:rPr>
      </w:pPr>
      <w:r w:rsidRPr="00AB2931">
        <w:rPr>
          <w:rFonts w:ascii="Times New Roman" w:hAnsi="Times New Roman" w:cs="Times New Roman"/>
        </w:rPr>
        <w:t>ALAT vai ASAT &gt; 3 × NAR un bilirubīns &gt; 2 × NAR</w:t>
      </w:r>
      <w:r w:rsidR="002B5DAC" w:rsidRPr="00AB2931">
        <w:rPr>
          <w:rFonts w:ascii="Times New Roman" w:hAnsi="Times New Roman" w:cs="Times New Roman"/>
        </w:rPr>
        <w:t>;</w:t>
      </w:r>
    </w:p>
    <w:p w14:paraId="2F6A90CE" w14:textId="383F5E26" w:rsidR="00340A0F" w:rsidRPr="00AB2931" w:rsidRDefault="00340A0F" w:rsidP="006859B8">
      <w:pPr>
        <w:pStyle w:val="ListParagraph"/>
        <w:numPr>
          <w:ilvl w:val="0"/>
          <w:numId w:val="3"/>
        </w:numPr>
        <w:spacing w:after="0"/>
        <w:jc w:val="both"/>
        <w:rPr>
          <w:rFonts w:ascii="Times New Roman" w:hAnsi="Times New Roman" w:cs="Times New Roman"/>
        </w:rPr>
      </w:pPr>
      <w:r w:rsidRPr="00AB2931">
        <w:rPr>
          <w:rFonts w:ascii="Times New Roman" w:hAnsi="Times New Roman" w:cs="Times New Roman"/>
        </w:rPr>
        <w:t>Pamatoti pierādījumi par līdzestības trūkumu medikamentozai terapijai;</w:t>
      </w:r>
    </w:p>
    <w:p w14:paraId="00FA94A9" w14:textId="07148614" w:rsidR="00400BA6" w:rsidRPr="00AB2931" w:rsidRDefault="00B10D2B" w:rsidP="006859B8">
      <w:pPr>
        <w:pStyle w:val="ListParagraph"/>
        <w:numPr>
          <w:ilvl w:val="0"/>
          <w:numId w:val="3"/>
        </w:numPr>
        <w:spacing w:after="0"/>
        <w:jc w:val="both"/>
        <w:rPr>
          <w:rFonts w:ascii="Times New Roman" w:hAnsi="Times New Roman" w:cs="Times New Roman"/>
        </w:rPr>
      </w:pPr>
      <w:r w:rsidRPr="00AB2931">
        <w:rPr>
          <w:rFonts w:ascii="Times New Roman" w:hAnsi="Times New Roman" w:cs="Times New Roman"/>
        </w:rPr>
        <w:t>Dokumentētas m</w:t>
      </w:r>
      <w:r w:rsidR="00400BA6" w:rsidRPr="00AB2931">
        <w:rPr>
          <w:rFonts w:ascii="Times New Roman" w:hAnsi="Times New Roman" w:cs="Times New Roman"/>
        </w:rPr>
        <w:t>edikamenta blaknes, kas pārsniedz ri</w:t>
      </w:r>
      <w:r w:rsidRPr="00AB2931">
        <w:rPr>
          <w:rFonts w:ascii="Times New Roman" w:hAnsi="Times New Roman" w:cs="Times New Roman"/>
        </w:rPr>
        <w:t>s</w:t>
      </w:r>
      <w:r w:rsidR="00400BA6" w:rsidRPr="00AB2931">
        <w:rPr>
          <w:rFonts w:ascii="Times New Roman" w:hAnsi="Times New Roman" w:cs="Times New Roman"/>
        </w:rPr>
        <w:t>kus un ieguvums turpinot lietot terapiju (tiek izvērtētas individuāli)</w:t>
      </w:r>
      <w:r w:rsidR="00B63B1B" w:rsidRPr="00AB2931">
        <w:rPr>
          <w:rFonts w:ascii="Times New Roman" w:hAnsi="Times New Roman" w:cs="Times New Roman"/>
        </w:rPr>
        <w:t>;</w:t>
      </w:r>
    </w:p>
    <w:p w14:paraId="4F5BB10F" w14:textId="4F26B790" w:rsidR="00400BA6" w:rsidRPr="00AB2931" w:rsidRDefault="00400BA6" w:rsidP="006859B8">
      <w:pPr>
        <w:pStyle w:val="ListParagraph"/>
        <w:numPr>
          <w:ilvl w:val="0"/>
          <w:numId w:val="3"/>
        </w:numPr>
        <w:spacing w:after="0"/>
        <w:jc w:val="both"/>
        <w:rPr>
          <w:rFonts w:ascii="Times New Roman" w:hAnsi="Times New Roman" w:cs="Times New Roman"/>
        </w:rPr>
      </w:pPr>
      <w:r w:rsidRPr="00AB2931">
        <w:rPr>
          <w:rFonts w:ascii="Times New Roman" w:hAnsi="Times New Roman" w:cs="Times New Roman"/>
        </w:rPr>
        <w:t>Netiek sasniegts terapeitiskais efekts</w:t>
      </w:r>
      <w:r w:rsidR="00770B20" w:rsidRPr="00AB2931">
        <w:rPr>
          <w:rFonts w:ascii="Times New Roman" w:hAnsi="Times New Roman" w:cs="Times New Roman"/>
        </w:rPr>
        <w:t xml:space="preserve"> (tiek izvērtēts individuāli).</w:t>
      </w:r>
    </w:p>
    <w:p w14:paraId="054D1A84" w14:textId="77777777" w:rsidR="00567F83" w:rsidRPr="00AB2931" w:rsidRDefault="00567F83" w:rsidP="006859B8">
      <w:pPr>
        <w:spacing w:after="0"/>
        <w:jc w:val="both"/>
        <w:rPr>
          <w:rFonts w:ascii="Times New Roman" w:hAnsi="Times New Roman" w:cs="Times New Roman"/>
        </w:rPr>
      </w:pPr>
    </w:p>
    <w:p w14:paraId="45B20D16" w14:textId="30B63F0A" w:rsidR="002B5DAC" w:rsidRPr="00AB2931" w:rsidRDefault="002B5DAC" w:rsidP="006859B8">
      <w:pPr>
        <w:spacing w:after="0"/>
        <w:jc w:val="both"/>
        <w:rPr>
          <w:rFonts w:ascii="Times New Roman" w:hAnsi="Times New Roman" w:cs="Times New Roman"/>
        </w:rPr>
      </w:pPr>
      <w:r w:rsidRPr="00AB2931">
        <w:rPr>
          <w:rFonts w:ascii="Times New Roman" w:hAnsi="Times New Roman" w:cs="Times New Roman"/>
        </w:rPr>
        <w:t xml:space="preserve">Pēc aknu radītāju normalizēšanās jāizvērtē ieguvumi un riski zāļu lietošanas atsākšanai. Pacienti, kuri pēc zāļu lietošanas apturēšanas atsāk lietošanu, ir rūpīgi jāuzrauga. </w:t>
      </w:r>
    </w:p>
    <w:p w14:paraId="00FE020D" w14:textId="77777777" w:rsidR="00EC35D1" w:rsidRPr="00AB2931" w:rsidRDefault="00EC35D1" w:rsidP="006859B8">
      <w:pPr>
        <w:spacing w:after="0"/>
        <w:jc w:val="both"/>
        <w:rPr>
          <w:rFonts w:ascii="Times New Roman" w:hAnsi="Times New Roman" w:cs="Times New Roman"/>
        </w:rPr>
      </w:pPr>
    </w:p>
    <w:p w14:paraId="68CC1802" w14:textId="52006522" w:rsidR="00EC35D1" w:rsidRPr="00AB2931" w:rsidRDefault="00EC35D1" w:rsidP="006859B8">
      <w:pPr>
        <w:spacing w:after="0"/>
        <w:jc w:val="both"/>
        <w:rPr>
          <w:rFonts w:ascii="Times New Roman" w:hAnsi="Times New Roman" w:cs="Times New Roman"/>
          <w:b/>
          <w:bCs/>
          <w:u w:val="single"/>
        </w:rPr>
      </w:pPr>
      <w:r w:rsidRPr="00AB2931">
        <w:rPr>
          <w:rFonts w:ascii="Times New Roman" w:hAnsi="Times New Roman" w:cs="Times New Roman"/>
          <w:b/>
          <w:bCs/>
          <w:u w:val="single"/>
        </w:rPr>
        <w:t xml:space="preserve">Atsauces </w:t>
      </w:r>
    </w:p>
    <w:p w14:paraId="2DC16E3D" w14:textId="49F7834C" w:rsidR="00EC35D1" w:rsidRPr="00AB2931" w:rsidRDefault="00EC35D1" w:rsidP="006859B8">
      <w:pPr>
        <w:pStyle w:val="ListParagraph"/>
        <w:numPr>
          <w:ilvl w:val="0"/>
          <w:numId w:val="8"/>
        </w:numPr>
        <w:jc w:val="both"/>
        <w:rPr>
          <w:rFonts w:ascii="Times New Roman" w:hAnsi="Times New Roman" w:cs="Times New Roman"/>
        </w:rPr>
      </w:pPr>
      <w:r w:rsidRPr="00AB2931">
        <w:rPr>
          <w:rFonts w:ascii="Times New Roman" w:hAnsi="Times New Roman" w:cs="Times New Roman"/>
        </w:rPr>
        <w:t xml:space="preserve">Keating </w:t>
      </w:r>
      <w:r w:rsidRPr="00AB2931">
        <w:rPr>
          <w:rFonts w:ascii="Times New Roman" w:hAnsi="Times New Roman" w:cs="Times New Roman"/>
          <w:i/>
          <w:iCs/>
        </w:rPr>
        <w:t>et al.</w:t>
      </w:r>
      <w:r w:rsidRPr="00AB2931">
        <w:rPr>
          <w:rFonts w:ascii="Times New Roman" w:hAnsi="Times New Roman" w:cs="Times New Roman"/>
        </w:rPr>
        <w:t xml:space="preserve"> “</w:t>
      </w:r>
      <w:r w:rsidRPr="00AB2931">
        <w:rPr>
          <w:rFonts w:ascii="Times New Roman" w:hAnsi="Times New Roman" w:cs="Times New Roman"/>
          <w:i/>
          <w:iCs/>
        </w:rPr>
        <w:t>Vanzacaftor- tezacaftor- deutivacaftor versus elexacaftor-tezacaftor- ivacaftor in individuals with cystic fibrosis aged 12 years and older (SKYLINE Trials VX20-121-102 and VX20-121-103): results from two randomised, active-controlled, phase 3 trials</w:t>
      </w:r>
      <w:r w:rsidRPr="00AB2931">
        <w:rPr>
          <w:rFonts w:ascii="Times New Roman" w:hAnsi="Times New Roman" w:cs="Times New Roman"/>
        </w:rPr>
        <w:t xml:space="preserve">” </w:t>
      </w:r>
      <w:r w:rsidRPr="00AB2931">
        <w:rPr>
          <w:rFonts w:ascii="Times New Roman" w:hAnsi="Times New Roman" w:cs="Times New Roman"/>
          <w:i/>
          <w:iCs/>
        </w:rPr>
        <w:t>Lancet Respir Med</w:t>
      </w:r>
      <w:r w:rsidRPr="00AB2931">
        <w:rPr>
          <w:rFonts w:ascii="Times New Roman" w:hAnsi="Times New Roman" w:cs="Times New Roman"/>
        </w:rPr>
        <w:t xml:space="preserve"> (2025).</w:t>
      </w:r>
    </w:p>
    <w:p w14:paraId="2A39A044" w14:textId="77777777" w:rsidR="00EC35D1" w:rsidRPr="00AB2931" w:rsidRDefault="00EC35D1" w:rsidP="006859B8">
      <w:pPr>
        <w:pStyle w:val="Default"/>
        <w:numPr>
          <w:ilvl w:val="0"/>
          <w:numId w:val="8"/>
        </w:numPr>
        <w:jc w:val="both"/>
      </w:pPr>
      <w:r w:rsidRPr="00AB2931">
        <w:rPr>
          <w:sz w:val="23"/>
          <w:szCs w:val="23"/>
        </w:rPr>
        <w:t xml:space="preserve">Hoppe </w:t>
      </w:r>
      <w:r w:rsidRPr="00AB2931">
        <w:rPr>
          <w:i/>
          <w:iCs/>
          <w:sz w:val="23"/>
          <w:szCs w:val="23"/>
        </w:rPr>
        <w:t>et al.</w:t>
      </w:r>
      <w:r w:rsidRPr="00AB2931">
        <w:rPr>
          <w:sz w:val="23"/>
          <w:szCs w:val="23"/>
        </w:rPr>
        <w:t xml:space="preserve"> “</w:t>
      </w:r>
      <w:r w:rsidRPr="00AB2931">
        <w:rPr>
          <w:i/>
          <w:iCs/>
          <w:sz w:val="23"/>
          <w:szCs w:val="23"/>
        </w:rPr>
        <w:t>Vanzacaftor-tezacaftor-deutivacaftor for children aged 6-11 years with cystic fibrosis (RIDGELINE Trial VX21-121-105): an analysis from a single-arm, phase 3 trial</w:t>
      </w:r>
      <w:r w:rsidRPr="00AB2931">
        <w:rPr>
          <w:sz w:val="23"/>
          <w:szCs w:val="23"/>
        </w:rPr>
        <w:t xml:space="preserve">” </w:t>
      </w:r>
      <w:r w:rsidRPr="00AB2931">
        <w:rPr>
          <w:i/>
          <w:iCs/>
          <w:sz w:val="23"/>
          <w:szCs w:val="23"/>
        </w:rPr>
        <w:t>Lancet Respir Med.</w:t>
      </w:r>
      <w:r w:rsidRPr="00AB2931">
        <w:rPr>
          <w:sz w:val="23"/>
          <w:szCs w:val="23"/>
        </w:rPr>
        <w:t xml:space="preserve"> (2025) </w:t>
      </w:r>
    </w:p>
    <w:p w14:paraId="22A77D80" w14:textId="6FA79159" w:rsidR="00EC35D1" w:rsidRPr="00AB2931" w:rsidRDefault="00EC35D1" w:rsidP="006859B8">
      <w:pPr>
        <w:spacing w:after="0"/>
        <w:jc w:val="both"/>
        <w:rPr>
          <w:rFonts w:ascii="Times New Roman" w:hAnsi="Times New Roman" w:cs="Times New Roman"/>
        </w:rPr>
      </w:pPr>
    </w:p>
    <w:p w14:paraId="75E97F59" w14:textId="77777777" w:rsidR="00517CC0" w:rsidRPr="00AB2931" w:rsidRDefault="00517CC0" w:rsidP="006859B8">
      <w:pPr>
        <w:spacing w:after="0"/>
        <w:jc w:val="both"/>
        <w:rPr>
          <w:rFonts w:ascii="Times New Roman" w:hAnsi="Times New Roman" w:cs="Times New Roman"/>
        </w:rPr>
      </w:pPr>
    </w:p>
    <w:p w14:paraId="0DD38241" w14:textId="07521270" w:rsidR="00517CC0" w:rsidRPr="00AB2931" w:rsidRDefault="00517CC0" w:rsidP="006859B8">
      <w:pPr>
        <w:spacing w:after="0"/>
        <w:jc w:val="both"/>
        <w:rPr>
          <w:rFonts w:ascii="Times New Roman" w:hAnsi="Times New Roman" w:cs="Times New Roman"/>
          <w:i/>
          <w:iCs/>
          <w:shd w:val="clear" w:color="auto" w:fill="FFFFFF"/>
        </w:rPr>
      </w:pPr>
    </w:p>
    <w:sectPr w:rsidR="00517CC0" w:rsidRPr="00AB29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71545"/>
    <w:multiLevelType w:val="singleLevel"/>
    <w:tmpl w:val="AAE71545"/>
    <w:lvl w:ilvl="0">
      <w:start w:val="5"/>
      <w:numFmt w:val="decimal"/>
      <w:lvlText w:val="%1."/>
      <w:lvlJc w:val="left"/>
      <w:pPr>
        <w:tabs>
          <w:tab w:val="left" w:pos="312"/>
        </w:tabs>
      </w:pPr>
    </w:lvl>
  </w:abstractNum>
  <w:abstractNum w:abstractNumId="1" w15:restartNumberingAfterBreak="0">
    <w:nsid w:val="F73052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ABB5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1F0ADD"/>
    <w:multiLevelType w:val="hybridMultilevel"/>
    <w:tmpl w:val="DBDC44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DAD5F04"/>
    <w:multiLevelType w:val="hybridMultilevel"/>
    <w:tmpl w:val="E32C91F4"/>
    <w:lvl w:ilvl="0" w:tplc="756896A0">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E6F5CD5"/>
    <w:multiLevelType w:val="hybridMultilevel"/>
    <w:tmpl w:val="B7FCBF04"/>
    <w:lvl w:ilvl="0" w:tplc="0426000F">
      <w:start w:val="1"/>
      <w:numFmt w:val="decimal"/>
      <w:lvlText w:val="%1."/>
      <w:lvlJc w:val="left"/>
      <w:pPr>
        <w:ind w:left="786"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AF3ACB"/>
    <w:multiLevelType w:val="multilevel"/>
    <w:tmpl w:val="9CA884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A8B607F"/>
    <w:multiLevelType w:val="hybridMultilevel"/>
    <w:tmpl w:val="4AEA8A18"/>
    <w:lvl w:ilvl="0" w:tplc="CF1CFC0E">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E936E1E"/>
    <w:multiLevelType w:val="hybridMultilevel"/>
    <w:tmpl w:val="75969C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E90202"/>
    <w:multiLevelType w:val="hybridMultilevel"/>
    <w:tmpl w:val="9104ED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6E5F35"/>
    <w:multiLevelType w:val="hybridMultilevel"/>
    <w:tmpl w:val="5B3A1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9958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A4B52FF"/>
    <w:multiLevelType w:val="hybridMultilevel"/>
    <w:tmpl w:val="35648978"/>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5087788">
    <w:abstractNumId w:val="5"/>
  </w:num>
  <w:num w:numId="2" w16cid:durableId="338624924">
    <w:abstractNumId w:val="7"/>
  </w:num>
  <w:num w:numId="3" w16cid:durableId="1265117085">
    <w:abstractNumId w:val="12"/>
  </w:num>
  <w:num w:numId="4" w16cid:durableId="1323391044">
    <w:abstractNumId w:val="11"/>
  </w:num>
  <w:num w:numId="5" w16cid:durableId="869495994">
    <w:abstractNumId w:val="1"/>
  </w:num>
  <w:num w:numId="6" w16cid:durableId="1670448851">
    <w:abstractNumId w:val="2"/>
  </w:num>
  <w:num w:numId="7" w16cid:durableId="83235281">
    <w:abstractNumId w:val="4"/>
  </w:num>
  <w:num w:numId="8" w16cid:durableId="1782994820">
    <w:abstractNumId w:val="10"/>
  </w:num>
  <w:num w:numId="9" w16cid:durableId="61953859">
    <w:abstractNumId w:val="9"/>
  </w:num>
  <w:num w:numId="10" w16cid:durableId="905384315">
    <w:abstractNumId w:val="8"/>
  </w:num>
  <w:num w:numId="11" w16cid:durableId="936062454">
    <w:abstractNumId w:val="0"/>
  </w:num>
  <w:num w:numId="12" w16cid:durableId="188976069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3312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D3"/>
    <w:rsid w:val="0000649F"/>
    <w:rsid w:val="00013045"/>
    <w:rsid w:val="0002428E"/>
    <w:rsid w:val="0004304F"/>
    <w:rsid w:val="000551AF"/>
    <w:rsid w:val="0009107D"/>
    <w:rsid w:val="000B0DEC"/>
    <w:rsid w:val="00116FB4"/>
    <w:rsid w:val="00122369"/>
    <w:rsid w:val="00130BB9"/>
    <w:rsid w:val="0014151D"/>
    <w:rsid w:val="001470BF"/>
    <w:rsid w:val="001A36BC"/>
    <w:rsid w:val="001F6C1C"/>
    <w:rsid w:val="002034AB"/>
    <w:rsid w:val="00251FFF"/>
    <w:rsid w:val="00267464"/>
    <w:rsid w:val="002A46D2"/>
    <w:rsid w:val="002B5DAC"/>
    <w:rsid w:val="002D634A"/>
    <w:rsid w:val="002F4C9F"/>
    <w:rsid w:val="0033461B"/>
    <w:rsid w:val="00340A0F"/>
    <w:rsid w:val="0039575A"/>
    <w:rsid w:val="003D3B77"/>
    <w:rsid w:val="00400BA6"/>
    <w:rsid w:val="00411D80"/>
    <w:rsid w:val="00424AD0"/>
    <w:rsid w:val="004765BB"/>
    <w:rsid w:val="004C5768"/>
    <w:rsid w:val="004D431C"/>
    <w:rsid w:val="00517CC0"/>
    <w:rsid w:val="00533883"/>
    <w:rsid w:val="00567F83"/>
    <w:rsid w:val="005765ED"/>
    <w:rsid w:val="00580B48"/>
    <w:rsid w:val="005932D2"/>
    <w:rsid w:val="00600320"/>
    <w:rsid w:val="00636AEF"/>
    <w:rsid w:val="006839B4"/>
    <w:rsid w:val="006859B8"/>
    <w:rsid w:val="006C0991"/>
    <w:rsid w:val="0070253A"/>
    <w:rsid w:val="007103B4"/>
    <w:rsid w:val="0072197C"/>
    <w:rsid w:val="007475CC"/>
    <w:rsid w:val="00770B20"/>
    <w:rsid w:val="0078747A"/>
    <w:rsid w:val="00792C48"/>
    <w:rsid w:val="007A0151"/>
    <w:rsid w:val="007B12FF"/>
    <w:rsid w:val="007B7C6E"/>
    <w:rsid w:val="007C1F0B"/>
    <w:rsid w:val="00836E8A"/>
    <w:rsid w:val="00842B51"/>
    <w:rsid w:val="00854A48"/>
    <w:rsid w:val="008811CF"/>
    <w:rsid w:val="00887D2D"/>
    <w:rsid w:val="008967DE"/>
    <w:rsid w:val="008C04BC"/>
    <w:rsid w:val="008C124B"/>
    <w:rsid w:val="008D36CF"/>
    <w:rsid w:val="008F1162"/>
    <w:rsid w:val="00903896"/>
    <w:rsid w:val="009118A3"/>
    <w:rsid w:val="009330DB"/>
    <w:rsid w:val="00954597"/>
    <w:rsid w:val="00975A0F"/>
    <w:rsid w:val="00987760"/>
    <w:rsid w:val="00987A7C"/>
    <w:rsid w:val="00995641"/>
    <w:rsid w:val="00996774"/>
    <w:rsid w:val="009A1881"/>
    <w:rsid w:val="009D5E84"/>
    <w:rsid w:val="00A50F16"/>
    <w:rsid w:val="00A535B7"/>
    <w:rsid w:val="00A725C5"/>
    <w:rsid w:val="00A74627"/>
    <w:rsid w:val="00AA58EB"/>
    <w:rsid w:val="00AB2931"/>
    <w:rsid w:val="00AC21B0"/>
    <w:rsid w:val="00AD72C3"/>
    <w:rsid w:val="00AF4E43"/>
    <w:rsid w:val="00B04762"/>
    <w:rsid w:val="00B10D2B"/>
    <w:rsid w:val="00B1391D"/>
    <w:rsid w:val="00B3661B"/>
    <w:rsid w:val="00B41A17"/>
    <w:rsid w:val="00B441AA"/>
    <w:rsid w:val="00B60900"/>
    <w:rsid w:val="00B620C7"/>
    <w:rsid w:val="00B63B1B"/>
    <w:rsid w:val="00B76F6D"/>
    <w:rsid w:val="00B87A0E"/>
    <w:rsid w:val="00BB0355"/>
    <w:rsid w:val="00C363DA"/>
    <w:rsid w:val="00CB1540"/>
    <w:rsid w:val="00CC1374"/>
    <w:rsid w:val="00D0452B"/>
    <w:rsid w:val="00D7416B"/>
    <w:rsid w:val="00D76ACF"/>
    <w:rsid w:val="00D97914"/>
    <w:rsid w:val="00DD393B"/>
    <w:rsid w:val="00DF791F"/>
    <w:rsid w:val="00E243AB"/>
    <w:rsid w:val="00E34FD6"/>
    <w:rsid w:val="00E37448"/>
    <w:rsid w:val="00E72963"/>
    <w:rsid w:val="00E83F8D"/>
    <w:rsid w:val="00EA6222"/>
    <w:rsid w:val="00EC1341"/>
    <w:rsid w:val="00EC35D1"/>
    <w:rsid w:val="00ED160B"/>
    <w:rsid w:val="00F362D8"/>
    <w:rsid w:val="00F367D3"/>
    <w:rsid w:val="00F41A85"/>
    <w:rsid w:val="00F67714"/>
    <w:rsid w:val="00F70FD0"/>
    <w:rsid w:val="00F90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F309"/>
  <w15:chartTrackingRefBased/>
  <w15:docId w15:val="{AC18E3E2-A62E-4A2F-BB32-E51A3985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6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6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7D3"/>
    <w:rPr>
      <w:rFonts w:eastAsiaTheme="majorEastAsia" w:cstheme="majorBidi"/>
      <w:color w:val="272727" w:themeColor="text1" w:themeTint="D8"/>
    </w:rPr>
  </w:style>
  <w:style w:type="paragraph" w:styleId="Title">
    <w:name w:val="Title"/>
    <w:basedOn w:val="Normal"/>
    <w:next w:val="Normal"/>
    <w:link w:val="TitleChar"/>
    <w:uiPriority w:val="10"/>
    <w:qFormat/>
    <w:rsid w:val="00F36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7D3"/>
    <w:pPr>
      <w:spacing w:before="160"/>
      <w:jc w:val="center"/>
    </w:pPr>
    <w:rPr>
      <w:i/>
      <w:iCs/>
      <w:color w:val="404040" w:themeColor="text1" w:themeTint="BF"/>
    </w:rPr>
  </w:style>
  <w:style w:type="character" w:customStyle="1" w:styleId="QuoteChar">
    <w:name w:val="Quote Char"/>
    <w:basedOn w:val="DefaultParagraphFont"/>
    <w:link w:val="Quote"/>
    <w:uiPriority w:val="29"/>
    <w:rsid w:val="00F367D3"/>
    <w:rPr>
      <w:i/>
      <w:iCs/>
      <w:color w:val="404040" w:themeColor="text1" w:themeTint="BF"/>
    </w:rPr>
  </w:style>
  <w:style w:type="paragraph" w:styleId="ListParagraph">
    <w:name w:val="List Paragraph"/>
    <w:basedOn w:val="Normal"/>
    <w:uiPriority w:val="34"/>
    <w:qFormat/>
    <w:rsid w:val="00F367D3"/>
    <w:pPr>
      <w:ind w:left="720"/>
      <w:contextualSpacing/>
    </w:pPr>
  </w:style>
  <w:style w:type="character" w:styleId="IntenseEmphasis">
    <w:name w:val="Intense Emphasis"/>
    <w:basedOn w:val="DefaultParagraphFont"/>
    <w:uiPriority w:val="21"/>
    <w:qFormat/>
    <w:rsid w:val="00F367D3"/>
    <w:rPr>
      <w:i/>
      <w:iCs/>
      <w:color w:val="0F4761" w:themeColor="accent1" w:themeShade="BF"/>
    </w:rPr>
  </w:style>
  <w:style w:type="paragraph" w:styleId="IntenseQuote">
    <w:name w:val="Intense Quote"/>
    <w:basedOn w:val="Normal"/>
    <w:next w:val="Normal"/>
    <w:link w:val="IntenseQuoteChar"/>
    <w:uiPriority w:val="30"/>
    <w:qFormat/>
    <w:rsid w:val="00F36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7D3"/>
    <w:rPr>
      <w:i/>
      <w:iCs/>
      <w:color w:val="0F4761" w:themeColor="accent1" w:themeShade="BF"/>
    </w:rPr>
  </w:style>
  <w:style w:type="character" w:styleId="IntenseReference">
    <w:name w:val="Intense Reference"/>
    <w:basedOn w:val="DefaultParagraphFont"/>
    <w:uiPriority w:val="32"/>
    <w:qFormat/>
    <w:rsid w:val="00F367D3"/>
    <w:rPr>
      <w:b/>
      <w:bCs/>
      <w:smallCaps/>
      <w:color w:val="0F4761" w:themeColor="accent1" w:themeShade="BF"/>
      <w:spacing w:val="5"/>
    </w:rPr>
  </w:style>
  <w:style w:type="table" w:styleId="TableGrid">
    <w:name w:val="Table Grid"/>
    <w:basedOn w:val="TableNormal"/>
    <w:uiPriority w:val="39"/>
    <w:rsid w:val="00006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5DAC"/>
    <w:rPr>
      <w:sz w:val="16"/>
      <w:szCs w:val="16"/>
    </w:rPr>
  </w:style>
  <w:style w:type="paragraph" w:styleId="CommentText">
    <w:name w:val="annotation text"/>
    <w:basedOn w:val="Normal"/>
    <w:link w:val="CommentTextChar"/>
    <w:uiPriority w:val="99"/>
    <w:unhideWhenUsed/>
    <w:rsid w:val="002B5DAC"/>
    <w:pPr>
      <w:spacing w:line="240" w:lineRule="auto"/>
    </w:pPr>
    <w:rPr>
      <w:sz w:val="20"/>
      <w:szCs w:val="20"/>
    </w:rPr>
  </w:style>
  <w:style w:type="character" w:customStyle="1" w:styleId="CommentTextChar">
    <w:name w:val="Comment Text Char"/>
    <w:basedOn w:val="DefaultParagraphFont"/>
    <w:link w:val="CommentText"/>
    <w:uiPriority w:val="99"/>
    <w:rsid w:val="002B5DAC"/>
    <w:rPr>
      <w:sz w:val="20"/>
      <w:szCs w:val="20"/>
    </w:rPr>
  </w:style>
  <w:style w:type="paragraph" w:styleId="CommentSubject">
    <w:name w:val="annotation subject"/>
    <w:basedOn w:val="CommentText"/>
    <w:next w:val="CommentText"/>
    <w:link w:val="CommentSubjectChar"/>
    <w:uiPriority w:val="99"/>
    <w:semiHidden/>
    <w:unhideWhenUsed/>
    <w:rsid w:val="002B5DAC"/>
    <w:rPr>
      <w:b/>
      <w:bCs/>
    </w:rPr>
  </w:style>
  <w:style w:type="character" w:customStyle="1" w:styleId="CommentSubjectChar">
    <w:name w:val="Comment Subject Char"/>
    <w:basedOn w:val="CommentTextChar"/>
    <w:link w:val="CommentSubject"/>
    <w:uiPriority w:val="99"/>
    <w:semiHidden/>
    <w:rsid w:val="002B5DAC"/>
    <w:rPr>
      <w:b/>
      <w:bCs/>
      <w:sz w:val="20"/>
      <w:szCs w:val="20"/>
    </w:rPr>
  </w:style>
  <w:style w:type="paragraph" w:customStyle="1" w:styleId="Default">
    <w:name w:val="Default"/>
    <w:rsid w:val="00EC35D1"/>
    <w:pPr>
      <w:autoSpaceDE w:val="0"/>
      <w:autoSpaceDN w:val="0"/>
      <w:adjustRightInd w:val="0"/>
      <w:spacing w:after="0" w:line="240" w:lineRule="auto"/>
    </w:pPr>
    <w:rPr>
      <w:rFonts w:ascii="Times New Roman" w:hAnsi="Times New Roman" w:cs="Times New Roman"/>
      <w:color w:val="000000"/>
      <w:kern w:val="0"/>
    </w:rPr>
  </w:style>
  <w:style w:type="character" w:styleId="BookTitle">
    <w:name w:val="Book Title"/>
    <w:basedOn w:val="DefaultParagraphFont"/>
    <w:uiPriority w:val="33"/>
    <w:qFormat/>
    <w:rsid w:val="006859B8"/>
    <w:rPr>
      <w:b/>
      <w:bCs/>
      <w:i/>
      <w:iCs/>
      <w:spacing w:val="5"/>
    </w:rPr>
  </w:style>
  <w:style w:type="paragraph" w:styleId="Caption">
    <w:name w:val="caption"/>
    <w:basedOn w:val="Normal"/>
    <w:next w:val="Normal"/>
    <w:uiPriority w:val="35"/>
    <w:semiHidden/>
    <w:unhideWhenUsed/>
    <w:qFormat/>
    <w:rsid w:val="006859B8"/>
    <w:pPr>
      <w:spacing w:after="200" w:line="240" w:lineRule="auto"/>
    </w:pPr>
    <w:rPr>
      <w:i/>
      <w:iCs/>
      <w:color w:val="0E2841" w:themeColor="text2"/>
      <w:sz w:val="18"/>
      <w:szCs w:val="18"/>
    </w:rPr>
  </w:style>
  <w:style w:type="character" w:styleId="Emphasis">
    <w:name w:val="Emphasis"/>
    <w:basedOn w:val="DefaultParagraphFont"/>
    <w:uiPriority w:val="20"/>
    <w:qFormat/>
    <w:rsid w:val="006859B8"/>
    <w:rPr>
      <w:i/>
      <w:iCs/>
    </w:rPr>
  </w:style>
  <w:style w:type="paragraph" w:styleId="NoSpacing">
    <w:name w:val="No Spacing"/>
    <w:uiPriority w:val="1"/>
    <w:qFormat/>
    <w:rsid w:val="006859B8"/>
    <w:pPr>
      <w:spacing w:after="0" w:line="240" w:lineRule="auto"/>
    </w:pPr>
  </w:style>
  <w:style w:type="character" w:styleId="Strong">
    <w:name w:val="Strong"/>
    <w:basedOn w:val="DefaultParagraphFont"/>
    <w:uiPriority w:val="22"/>
    <w:qFormat/>
    <w:rsid w:val="006859B8"/>
    <w:rPr>
      <w:b/>
      <w:bCs/>
    </w:rPr>
  </w:style>
  <w:style w:type="character" w:styleId="SubtleEmphasis">
    <w:name w:val="Subtle Emphasis"/>
    <w:basedOn w:val="DefaultParagraphFont"/>
    <w:uiPriority w:val="19"/>
    <w:qFormat/>
    <w:rsid w:val="006859B8"/>
    <w:rPr>
      <w:i/>
      <w:iCs/>
      <w:color w:val="404040" w:themeColor="text1" w:themeTint="BF"/>
    </w:rPr>
  </w:style>
  <w:style w:type="character" w:styleId="SubtleReference">
    <w:name w:val="Subtle Reference"/>
    <w:basedOn w:val="DefaultParagraphFont"/>
    <w:uiPriority w:val="31"/>
    <w:qFormat/>
    <w:rsid w:val="006859B8"/>
    <w:rPr>
      <w:smallCaps/>
      <w:color w:val="5A5A5A" w:themeColor="text1" w:themeTint="A5"/>
    </w:rPr>
  </w:style>
  <w:style w:type="paragraph" w:styleId="TOCHeading">
    <w:name w:val="TOC Heading"/>
    <w:basedOn w:val="Heading1"/>
    <w:next w:val="Normal"/>
    <w:uiPriority w:val="39"/>
    <w:semiHidden/>
    <w:unhideWhenUsed/>
    <w:qFormat/>
    <w:rsid w:val="006859B8"/>
    <w:pPr>
      <w:spacing w:before="240" w:after="0"/>
      <w:outlineLvl w:val="9"/>
    </w:pPr>
    <w:rPr>
      <w:sz w:val="32"/>
      <w:szCs w:val="32"/>
    </w:rPr>
  </w:style>
  <w:style w:type="paragraph" w:styleId="Revision">
    <w:name w:val="Revision"/>
    <w:hidden/>
    <w:uiPriority w:val="99"/>
    <w:semiHidden/>
    <w:rsid w:val="00987A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577D1D0BD2241B17F1090A8C05E8D" ma:contentTypeVersion="16" ma:contentTypeDescription="Create a new document." ma:contentTypeScope="" ma:versionID="b2067aebc3c8a1cc289a04654d3a181c">
  <xsd:schema xmlns:xsd="http://www.w3.org/2001/XMLSchema" xmlns:xs="http://www.w3.org/2001/XMLSchema" xmlns:p="http://schemas.microsoft.com/office/2006/metadata/properties" xmlns:ns3="a742fd13-dc9a-4912-94f8-7886ee1b19e5" xmlns:ns4="2491aaa9-eb19-47ed-8522-8040e3a50d84" targetNamespace="http://schemas.microsoft.com/office/2006/metadata/properties" ma:root="true" ma:fieldsID="454a56a9766174593b9caa78a9c414b0" ns3:_="" ns4:_="">
    <xsd:import namespace="a742fd13-dc9a-4912-94f8-7886ee1b19e5"/>
    <xsd:import namespace="2491aaa9-eb19-47ed-8522-8040e3a50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2fd13-dc9a-4912-94f8-7886ee1b19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1aaa9-eb19-47ed-8522-8040e3a50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491aaa9-eb19-47ed-8522-8040e3a50d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9FA17-71EE-43EB-B253-9101D1B4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2fd13-dc9a-4912-94f8-7886ee1b19e5"/>
    <ds:schemaRef ds:uri="2491aaa9-eb19-47ed-8522-8040e3a50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E787A-4A2A-4BC3-83C8-18AE849A9A5B}">
  <ds:schemaRefs>
    <ds:schemaRef ds:uri="http://schemas.microsoft.com/office/2006/metadata/properties"/>
    <ds:schemaRef ds:uri="http://schemas.microsoft.com/office/infopath/2007/PartnerControls"/>
    <ds:schemaRef ds:uri="2491aaa9-eb19-47ed-8522-8040e3a50d84"/>
  </ds:schemaRefs>
</ds:datastoreItem>
</file>

<file path=customXml/itemProps3.xml><?xml version="1.0" encoding="utf-8"?>
<ds:datastoreItem xmlns:ds="http://schemas.openxmlformats.org/officeDocument/2006/customXml" ds:itemID="{F1B07A41-EAE7-4276-884F-DADEE52250C6}">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439</TotalTime>
  <Pages>2</Pages>
  <Words>2641</Words>
  <Characters>1506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Mareks Kleina</dc:creator>
  <cp:keywords/>
  <dc:description/>
  <cp:lastModifiedBy>Mareks Kleina</cp:lastModifiedBy>
  <cp:revision>26</cp:revision>
  <dcterms:created xsi:type="dcterms:W3CDTF">2026-07-22T13:50:00Z</dcterms:created>
  <dcterms:modified xsi:type="dcterms:W3CDTF">2026-08-12T12:29:00Z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0x0101002A5577D1D0BD2241B17F1090A8C05E8D</vt:lpwstr>
  </property>
</Properties>
</file>