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333FE" w14:textId="77777777" w:rsidR="00463519" w:rsidRPr="00463519" w:rsidRDefault="00463519" w:rsidP="00463519">
      <w:pPr>
        <w:spacing w:after="0" w:line="240" w:lineRule="auto"/>
        <w:jc w:val="both"/>
        <w:rPr>
          <w:rFonts w:ascii="Times New Roman" w:hAnsi="Times New Roman"/>
          <w:sz w:val="24"/>
          <w:szCs w:val="24"/>
          <w:lang w:val="lv-LV"/>
        </w:rPr>
      </w:pPr>
    </w:p>
    <w:p w14:paraId="4C9E6B6B" w14:textId="77777777" w:rsidR="00463519" w:rsidRPr="00463519" w:rsidRDefault="00463519" w:rsidP="00463519">
      <w:pPr>
        <w:spacing w:after="0" w:line="240" w:lineRule="auto"/>
        <w:jc w:val="both"/>
        <w:rPr>
          <w:rFonts w:ascii="Times New Roman" w:hAnsi="Times New Roman"/>
          <w:sz w:val="24"/>
          <w:szCs w:val="24"/>
          <w:lang w:val="lv-LV"/>
        </w:rPr>
      </w:pPr>
    </w:p>
    <w:p w14:paraId="748BC108" w14:textId="3948C3BB" w:rsidR="00463519" w:rsidRPr="00463519" w:rsidRDefault="00463519" w:rsidP="00463519">
      <w:pPr>
        <w:spacing w:after="0" w:line="240" w:lineRule="auto"/>
        <w:ind w:firstLine="720"/>
        <w:jc w:val="both"/>
        <w:rPr>
          <w:rFonts w:ascii="Times New Roman" w:hAnsi="Times New Roman"/>
          <w:sz w:val="24"/>
          <w:szCs w:val="24"/>
          <w:lang w:val="lv-LV"/>
        </w:rPr>
      </w:pPr>
      <w:r w:rsidRPr="00463519">
        <w:rPr>
          <w:rFonts w:ascii="Times New Roman" w:hAnsi="Times New Roman"/>
          <w:sz w:val="24"/>
          <w:szCs w:val="24"/>
          <w:lang w:val="lv-LV"/>
        </w:rPr>
        <w:t xml:space="preserve">Nacionālais veselības dienests (turpmāk – Dienests) ir veicis pārbaudes par zāļu </w:t>
      </w:r>
      <w:r w:rsidRPr="00463519">
        <w:rPr>
          <w:rFonts w:ascii="Times New Roman" w:hAnsi="Times New Roman"/>
          <w:i/>
          <w:iCs/>
          <w:sz w:val="24"/>
          <w:szCs w:val="24"/>
          <w:lang w:val="lv-LV"/>
        </w:rPr>
        <w:t xml:space="preserve">ar vispārīgo nosaukumu </w:t>
      </w:r>
      <w:proofErr w:type="spellStart"/>
      <w:r w:rsidRPr="00463519">
        <w:rPr>
          <w:rFonts w:ascii="Times New Roman" w:hAnsi="Times New Roman"/>
          <w:i/>
          <w:iCs/>
          <w:sz w:val="24"/>
          <w:szCs w:val="24"/>
          <w:lang w:val="lv-LV"/>
        </w:rPr>
        <w:t>Semaglutidum</w:t>
      </w:r>
      <w:proofErr w:type="spellEnd"/>
      <w:r w:rsidRPr="00463519">
        <w:rPr>
          <w:rFonts w:ascii="Times New Roman" w:hAnsi="Times New Roman"/>
          <w:sz w:val="24"/>
          <w:szCs w:val="24"/>
          <w:lang w:val="lv-LV"/>
        </w:rPr>
        <w:t xml:space="preserve"> izrakstīšanas un izsniegšanas (</w:t>
      </w:r>
      <w:proofErr w:type="spellStart"/>
      <w:r w:rsidRPr="00463519">
        <w:rPr>
          <w:rFonts w:ascii="Times New Roman" w:hAnsi="Times New Roman"/>
          <w:sz w:val="24"/>
          <w:szCs w:val="24"/>
          <w:lang w:val="lv-LV"/>
        </w:rPr>
        <w:t>atprečošanas</w:t>
      </w:r>
      <w:proofErr w:type="spellEnd"/>
      <w:r w:rsidRPr="00463519">
        <w:rPr>
          <w:rFonts w:ascii="Times New Roman" w:hAnsi="Times New Roman"/>
          <w:sz w:val="24"/>
          <w:szCs w:val="24"/>
          <w:lang w:val="lv-LV"/>
        </w:rPr>
        <w:t>) atbilstību normatīvo aktu un līguma prasībām.</w:t>
      </w:r>
    </w:p>
    <w:p w14:paraId="307955F4" w14:textId="77777777" w:rsidR="00463519" w:rsidRPr="00463519" w:rsidRDefault="00463519" w:rsidP="00463519">
      <w:pPr>
        <w:spacing w:after="0" w:line="240" w:lineRule="auto"/>
        <w:ind w:firstLine="720"/>
        <w:jc w:val="both"/>
        <w:rPr>
          <w:rFonts w:ascii="Times New Roman" w:hAnsi="Times New Roman"/>
          <w:sz w:val="24"/>
          <w:szCs w:val="24"/>
          <w:lang w:val="lv-LV"/>
        </w:rPr>
      </w:pPr>
      <w:r w:rsidRPr="00463519">
        <w:rPr>
          <w:rFonts w:ascii="Times New Roman" w:hAnsi="Times New Roman"/>
          <w:sz w:val="24"/>
          <w:szCs w:val="24"/>
          <w:lang w:val="lv-LV"/>
        </w:rPr>
        <w:t>Noteikumu Nr. 899</w:t>
      </w:r>
      <w:r w:rsidRPr="00463519">
        <w:rPr>
          <w:rFonts w:ascii="Times New Roman" w:hAnsi="Times New Roman"/>
          <w:sz w:val="24"/>
          <w:szCs w:val="24"/>
          <w:vertAlign w:val="superscript"/>
          <w:lang w:val="lv-LV"/>
        </w:rPr>
        <w:footnoteReference w:id="1"/>
      </w:r>
      <w:r w:rsidRPr="00463519">
        <w:rPr>
          <w:rFonts w:ascii="Times New Roman" w:hAnsi="Times New Roman"/>
          <w:sz w:val="24"/>
          <w:szCs w:val="24"/>
          <w:lang w:val="lv-LV"/>
        </w:rPr>
        <w:t xml:space="preserve"> 3. punkts nosaka, ka Kompensējamo zāļu sarakstā</w:t>
      </w:r>
      <w:r w:rsidRPr="00463519">
        <w:rPr>
          <w:rFonts w:ascii="Times New Roman" w:hAnsi="Times New Roman"/>
          <w:sz w:val="24"/>
          <w:szCs w:val="24"/>
          <w:vertAlign w:val="superscript"/>
          <w:lang w:val="lv-LV"/>
        </w:rPr>
        <w:footnoteReference w:id="2"/>
      </w:r>
      <w:r w:rsidRPr="00463519">
        <w:rPr>
          <w:rFonts w:ascii="Times New Roman" w:hAnsi="Times New Roman"/>
          <w:sz w:val="24"/>
          <w:szCs w:val="24"/>
          <w:lang w:val="lv-LV"/>
        </w:rPr>
        <w:t xml:space="preserve"> iekļauto zāļu iegādes izdevumus Dienests sedz, ņemot vērā slimības raksturu un smaguma pakāpi un ievērojot noteiktos kompensācijas ierobežojumus un izrakstīšanas nosacījumus.</w:t>
      </w:r>
    </w:p>
    <w:p w14:paraId="39E349D5" w14:textId="77777777" w:rsidR="00463519" w:rsidRPr="00463519" w:rsidRDefault="00463519" w:rsidP="00463519">
      <w:pPr>
        <w:pStyle w:val="Header"/>
        <w:tabs>
          <w:tab w:val="left" w:pos="720"/>
        </w:tabs>
        <w:ind w:firstLine="720"/>
        <w:jc w:val="both"/>
        <w:rPr>
          <w:rFonts w:ascii="Times New Roman" w:hAnsi="Times New Roman"/>
          <w:sz w:val="24"/>
          <w:szCs w:val="24"/>
          <w:lang w:val="lv-LV"/>
        </w:rPr>
      </w:pPr>
    </w:p>
    <w:p w14:paraId="5F944233" w14:textId="77777777" w:rsidR="00463519" w:rsidRPr="00463519" w:rsidRDefault="00463519" w:rsidP="00463519">
      <w:pPr>
        <w:pStyle w:val="Header"/>
        <w:numPr>
          <w:ilvl w:val="0"/>
          <w:numId w:val="3"/>
        </w:numPr>
        <w:tabs>
          <w:tab w:val="left" w:pos="720"/>
        </w:tabs>
        <w:jc w:val="both"/>
        <w:rPr>
          <w:rFonts w:ascii="Times New Roman" w:hAnsi="Times New Roman"/>
          <w:b/>
          <w:bCs/>
          <w:sz w:val="24"/>
          <w:szCs w:val="24"/>
          <w:lang w:val="lv-LV"/>
        </w:rPr>
      </w:pPr>
      <w:r w:rsidRPr="00463519">
        <w:rPr>
          <w:rFonts w:ascii="Times New Roman" w:hAnsi="Times New Roman"/>
          <w:b/>
          <w:bCs/>
          <w:sz w:val="24"/>
          <w:szCs w:val="24"/>
          <w:lang w:val="lv-LV"/>
        </w:rPr>
        <w:t>Normatīvo aktu regulējums</w:t>
      </w:r>
    </w:p>
    <w:p w14:paraId="55BC85DA" w14:textId="2C2ECA5A" w:rsidR="00463519" w:rsidRPr="00463519" w:rsidRDefault="00463519" w:rsidP="00463519">
      <w:pPr>
        <w:pStyle w:val="Header"/>
        <w:tabs>
          <w:tab w:val="left" w:pos="720"/>
        </w:tabs>
        <w:ind w:firstLine="720"/>
        <w:jc w:val="both"/>
        <w:rPr>
          <w:rFonts w:ascii="Times New Roman" w:hAnsi="Times New Roman"/>
          <w:sz w:val="24"/>
          <w:szCs w:val="24"/>
          <w:lang w:val="lv-LV"/>
        </w:rPr>
      </w:pPr>
      <w:r w:rsidRPr="00463519">
        <w:rPr>
          <w:rFonts w:ascii="Times New Roman" w:hAnsi="Times New Roman"/>
          <w:sz w:val="24"/>
          <w:szCs w:val="24"/>
          <w:lang w:val="lv-LV"/>
        </w:rPr>
        <w:t xml:space="preserve">Dienests, izvērtējot </w:t>
      </w:r>
      <w:r w:rsidR="004C2745">
        <w:rPr>
          <w:rFonts w:ascii="Times New Roman" w:hAnsi="Times New Roman"/>
          <w:sz w:val="24"/>
          <w:szCs w:val="24"/>
          <w:lang w:val="lv-LV"/>
        </w:rPr>
        <w:t>z</w:t>
      </w:r>
      <w:r w:rsidRPr="00463519">
        <w:rPr>
          <w:rFonts w:ascii="Times New Roman" w:hAnsi="Times New Roman"/>
          <w:sz w:val="24"/>
          <w:szCs w:val="24"/>
          <w:lang w:val="lv-LV"/>
        </w:rPr>
        <w:t xml:space="preserve">āļu izrakstīšanas apjomus (daudzumu) un aptiekās </w:t>
      </w:r>
      <w:proofErr w:type="spellStart"/>
      <w:r w:rsidRPr="00463519">
        <w:rPr>
          <w:rFonts w:ascii="Times New Roman" w:hAnsi="Times New Roman"/>
          <w:sz w:val="24"/>
          <w:szCs w:val="24"/>
          <w:lang w:val="lv-LV"/>
        </w:rPr>
        <w:t>atprečoto</w:t>
      </w:r>
      <w:proofErr w:type="spellEnd"/>
      <w:r w:rsidRPr="00463519">
        <w:rPr>
          <w:rFonts w:ascii="Times New Roman" w:hAnsi="Times New Roman"/>
          <w:sz w:val="24"/>
          <w:szCs w:val="24"/>
          <w:lang w:val="lv-LV"/>
        </w:rPr>
        <w:t xml:space="preserve">, t.sk. apmaksai uzrādīto apjomu, ir konstatējis, ka zāļu daudzuma atspoguļošana, izrakstot un </w:t>
      </w:r>
      <w:proofErr w:type="spellStart"/>
      <w:r w:rsidRPr="00463519">
        <w:rPr>
          <w:rFonts w:ascii="Times New Roman" w:hAnsi="Times New Roman"/>
          <w:sz w:val="24"/>
          <w:szCs w:val="24"/>
          <w:lang w:val="lv-LV"/>
        </w:rPr>
        <w:t>atprečojot</w:t>
      </w:r>
      <w:proofErr w:type="spellEnd"/>
      <w:r w:rsidRPr="00463519">
        <w:rPr>
          <w:rFonts w:ascii="Times New Roman" w:hAnsi="Times New Roman"/>
          <w:sz w:val="24"/>
          <w:szCs w:val="24"/>
          <w:lang w:val="lv-LV"/>
        </w:rPr>
        <w:t xml:space="preserve"> </w:t>
      </w:r>
      <w:r w:rsidR="004C2745">
        <w:rPr>
          <w:rFonts w:ascii="Times New Roman" w:hAnsi="Times New Roman"/>
          <w:sz w:val="24"/>
          <w:szCs w:val="24"/>
          <w:lang w:val="lv-LV"/>
        </w:rPr>
        <w:t>z</w:t>
      </w:r>
      <w:r w:rsidRPr="00463519">
        <w:rPr>
          <w:rFonts w:ascii="Times New Roman" w:hAnsi="Times New Roman"/>
          <w:sz w:val="24"/>
          <w:szCs w:val="24"/>
          <w:lang w:val="lv-LV"/>
        </w:rPr>
        <w:t>āles, neatbilst vienotiem standartiem, t.sk. normatīvo aktu prasībām.</w:t>
      </w:r>
    </w:p>
    <w:p w14:paraId="3C67E88B" w14:textId="09D758E9" w:rsidR="00463519" w:rsidRPr="00463519" w:rsidRDefault="00463519" w:rsidP="00463519">
      <w:pPr>
        <w:pStyle w:val="Header"/>
        <w:tabs>
          <w:tab w:val="left" w:pos="720"/>
        </w:tabs>
        <w:ind w:firstLine="720"/>
        <w:jc w:val="both"/>
        <w:rPr>
          <w:rFonts w:ascii="Times New Roman" w:hAnsi="Times New Roman"/>
          <w:sz w:val="24"/>
          <w:szCs w:val="24"/>
          <w:lang w:val="lv-LV"/>
        </w:rPr>
      </w:pPr>
      <w:r w:rsidRPr="00463519">
        <w:rPr>
          <w:rFonts w:ascii="Times New Roman" w:hAnsi="Times New Roman"/>
          <w:sz w:val="24"/>
          <w:szCs w:val="24"/>
          <w:lang w:val="lv-LV"/>
        </w:rPr>
        <w:t>Ministru kabineta 11.03.2014. noteikumu Nr. 134 “Noteikumi par vienoto veselības nozares elektronisko informācijas sistēmu” (turpmāk – Noteikumi Nr. 134)  4.3. punkts nosaka, ka E-veselība nodrošina elektronisku recepšu izrakstīšanu un apriti starp ārstniecības personu un farmaceitu vai farmaceita asistentu. Atbilstoši Noteikumu Nr. 134 11.4.4. un 11.6. apakšpunkt</w:t>
      </w:r>
      <w:r w:rsidR="00800279">
        <w:rPr>
          <w:rFonts w:ascii="Times New Roman" w:hAnsi="Times New Roman"/>
          <w:sz w:val="24"/>
          <w:szCs w:val="24"/>
          <w:lang w:val="lv-LV"/>
        </w:rPr>
        <w:t>am</w:t>
      </w:r>
      <w:r w:rsidRPr="00463519">
        <w:rPr>
          <w:rFonts w:ascii="Times New Roman" w:hAnsi="Times New Roman"/>
          <w:sz w:val="24"/>
          <w:szCs w:val="24"/>
          <w:lang w:val="lv-LV"/>
        </w:rPr>
        <w:t xml:space="preserve"> E-receptes (Noteikumu Nr. 134 5. pielikums) datus sniedz ārstniecības iestāde un aptieka atbilstoši normatīvajiem aktiem par recepšu veidlapu izgatavošanu un uzglabāšanu, kā arī recepšu izrakstīšanu un uzglabāšanu. Saskaņā ar Ministru kabineta 25.08.2026. noteikumu Nr. 512 “Recepšu veidlapu un recepšu aprites noteikumi” (turpmāk - Noteikumu Nr. 512)</w:t>
      </w:r>
      <w:r w:rsidRPr="00463519">
        <w:rPr>
          <w:rFonts w:ascii="Times New Roman" w:hAnsi="Times New Roman"/>
          <w:sz w:val="24"/>
          <w:szCs w:val="24"/>
          <w:vertAlign w:val="superscript"/>
          <w:lang w:val="lv-LV"/>
        </w:rPr>
        <w:footnoteReference w:id="3"/>
      </w:r>
      <w:r w:rsidRPr="00463519">
        <w:rPr>
          <w:rFonts w:ascii="Times New Roman" w:hAnsi="Times New Roman"/>
          <w:sz w:val="24"/>
          <w:szCs w:val="24"/>
          <w:lang w:val="lv-LV"/>
        </w:rPr>
        <w:t xml:space="preserve"> 3. pielikuma “Recepšu aizpildīšanas prasības” I sadaļas</w:t>
      </w:r>
      <w:r w:rsidRPr="00463519">
        <w:rPr>
          <w:rFonts w:ascii="Times New Roman" w:hAnsi="Times New Roman"/>
          <w:b/>
          <w:bCs/>
          <w:sz w:val="24"/>
          <w:szCs w:val="24"/>
          <w:lang w:val="lv-LV"/>
        </w:rPr>
        <w:t xml:space="preserve"> </w:t>
      </w:r>
      <w:r w:rsidRPr="00463519">
        <w:rPr>
          <w:rFonts w:ascii="Times New Roman" w:hAnsi="Times New Roman"/>
          <w:sz w:val="24"/>
          <w:szCs w:val="24"/>
          <w:lang w:val="lv-LV"/>
        </w:rPr>
        <w:t xml:space="preserve">3. punktu, izrakstot zāles, norāda zāļu formu, nosaukumu ar lielo burtu latīņu valodā ģenitīvā, norādot zāļu formas devu un devu skaitu. </w:t>
      </w:r>
      <w:r w:rsidRPr="00463519">
        <w:rPr>
          <w:rFonts w:ascii="Times New Roman" w:hAnsi="Times New Roman"/>
          <w:b/>
          <w:bCs/>
          <w:sz w:val="24"/>
          <w:szCs w:val="24"/>
          <w:lang w:val="lv-LV"/>
        </w:rPr>
        <w:t xml:space="preserve">Savukārt, izsniedzot zāles, aptiekā </w:t>
      </w:r>
      <w:r w:rsidRPr="00463519">
        <w:rPr>
          <w:rFonts w:ascii="Times New Roman" w:hAnsi="Times New Roman"/>
          <w:b/>
          <w:bCs/>
          <w:sz w:val="24"/>
          <w:szCs w:val="24"/>
          <w:u w:val="single"/>
          <w:lang w:val="lv-LV"/>
        </w:rPr>
        <w:t xml:space="preserve">papildus </w:t>
      </w:r>
      <w:r w:rsidRPr="00463519">
        <w:rPr>
          <w:rFonts w:ascii="Times New Roman" w:hAnsi="Times New Roman"/>
          <w:b/>
          <w:bCs/>
          <w:sz w:val="24"/>
          <w:szCs w:val="24"/>
          <w:lang w:val="lv-LV"/>
        </w:rPr>
        <w:t>norāda arī izsniegto daudzumu (iepakojumu skaitu)</w:t>
      </w:r>
      <w:r w:rsidRPr="00463519">
        <w:rPr>
          <w:rFonts w:ascii="Times New Roman" w:hAnsi="Times New Roman"/>
          <w:sz w:val="24"/>
          <w:szCs w:val="24"/>
          <w:lang w:val="lv-LV"/>
        </w:rPr>
        <w:t xml:space="preserve"> (Noteikumu Nr. 512 III sadaļas Īpašo recepšu aizpildīšanas prasības 20. punkts), t.sk. ievērojot, ka aptiekas pienākums ir izsniegt lētākās šim nosaukumam, zāļu formai un stiprumam atbilstošās kompensējamās zāles (Noteikumu Nr. 899  89. punkts), t.sk. /../ izsniegto zāļu kopējā deva nepārsniedz izrakstīto zāļu kopējo devu (Noteikumi Nr. 899 90.4. apakšpunkts). Atbilstoši Aptieku darbības noteikumu 40. punktam, darbu aptiekā un aptiekas filiālē organizē tā, lai pacientu nodrošinātu ar jebkurām viņam izrakstītajām zālēm iespējami īsā laikā.</w:t>
      </w:r>
    </w:p>
    <w:p w14:paraId="7950E8FF" w14:textId="77777777" w:rsidR="00463519" w:rsidRPr="00463519" w:rsidRDefault="00463519" w:rsidP="00463519">
      <w:pPr>
        <w:pStyle w:val="Header"/>
        <w:tabs>
          <w:tab w:val="left" w:pos="720"/>
        </w:tabs>
        <w:ind w:firstLine="720"/>
        <w:jc w:val="both"/>
        <w:rPr>
          <w:rFonts w:ascii="Times New Roman" w:hAnsi="Times New Roman"/>
          <w:sz w:val="24"/>
          <w:szCs w:val="24"/>
          <w:lang w:val="lv-LV"/>
        </w:rPr>
      </w:pPr>
    </w:p>
    <w:p w14:paraId="300769EF" w14:textId="77777777" w:rsidR="00463519" w:rsidRPr="00463519" w:rsidRDefault="00463519" w:rsidP="00463519">
      <w:pPr>
        <w:pStyle w:val="Header"/>
        <w:numPr>
          <w:ilvl w:val="0"/>
          <w:numId w:val="3"/>
        </w:numPr>
        <w:tabs>
          <w:tab w:val="left" w:pos="720"/>
        </w:tabs>
        <w:jc w:val="both"/>
        <w:rPr>
          <w:rFonts w:ascii="Times New Roman" w:hAnsi="Times New Roman"/>
          <w:b/>
          <w:bCs/>
          <w:sz w:val="24"/>
          <w:szCs w:val="24"/>
          <w:lang w:val="lv-LV"/>
        </w:rPr>
      </w:pPr>
      <w:r w:rsidRPr="00463519">
        <w:rPr>
          <w:rFonts w:ascii="Times New Roman" w:hAnsi="Times New Roman"/>
          <w:b/>
          <w:bCs/>
          <w:sz w:val="24"/>
          <w:szCs w:val="24"/>
          <w:lang w:val="lv-LV"/>
        </w:rPr>
        <w:t xml:space="preserve">Riska </w:t>
      </w:r>
      <w:proofErr w:type="spellStart"/>
      <w:r w:rsidRPr="00463519">
        <w:rPr>
          <w:rFonts w:ascii="Times New Roman" w:hAnsi="Times New Roman"/>
          <w:b/>
          <w:bCs/>
          <w:sz w:val="24"/>
          <w:szCs w:val="24"/>
          <w:lang w:val="lv-LV"/>
        </w:rPr>
        <w:t>izvērtējums</w:t>
      </w:r>
      <w:proofErr w:type="spellEnd"/>
    </w:p>
    <w:p w14:paraId="2777D3DC" w14:textId="257A9FCA" w:rsidR="00463519" w:rsidRPr="00463519" w:rsidRDefault="00463519" w:rsidP="00463519">
      <w:pPr>
        <w:pStyle w:val="Header"/>
        <w:tabs>
          <w:tab w:val="left" w:pos="720"/>
        </w:tabs>
        <w:ind w:firstLine="720"/>
        <w:jc w:val="both"/>
        <w:rPr>
          <w:rFonts w:ascii="Times New Roman" w:hAnsi="Times New Roman"/>
          <w:sz w:val="24"/>
          <w:szCs w:val="24"/>
          <w:lang w:val="lv-LV"/>
        </w:rPr>
      </w:pPr>
      <w:r w:rsidRPr="00463519">
        <w:rPr>
          <w:rFonts w:ascii="Times New Roman" w:hAnsi="Times New Roman"/>
          <w:sz w:val="24"/>
          <w:szCs w:val="24"/>
          <w:lang w:val="lv-LV"/>
        </w:rPr>
        <w:t>Dienests ir atlasījis datus Vadības informācijas sistēma</w:t>
      </w:r>
      <w:r w:rsidR="00800279">
        <w:rPr>
          <w:rFonts w:ascii="Times New Roman" w:hAnsi="Times New Roman"/>
          <w:sz w:val="24"/>
          <w:szCs w:val="24"/>
          <w:lang w:val="lv-LV"/>
        </w:rPr>
        <w:t>s</w:t>
      </w:r>
      <w:r w:rsidRPr="00463519">
        <w:rPr>
          <w:rFonts w:ascii="Times New Roman" w:hAnsi="Times New Roman"/>
          <w:sz w:val="24"/>
          <w:szCs w:val="24"/>
          <w:lang w:val="lv-LV"/>
        </w:rPr>
        <w:t xml:space="preserve"> (turpmāk – VIS) kompensējamo medikamentu apmaksas norēķinu sistēmas (turpmāk – BMANS) un Vienotajā veselības nozares elektroniskajā informācijas sistēmā (turpmāk – E-veselība) un salīdzinājis recepšu datus par periodu 01.01.2025.-30.03.2026. VIS BMANS un E-veselībā, t.sk. E-veselībā izrakstīšanas ziņojumā un izsniegšanas ziņojumā informāciju par zāļu ar konkrēto nosaukumu </w:t>
      </w:r>
      <w:proofErr w:type="spellStart"/>
      <w:r w:rsidRPr="00463519">
        <w:rPr>
          <w:rFonts w:ascii="Times New Roman" w:hAnsi="Times New Roman"/>
          <w:i/>
          <w:iCs/>
          <w:sz w:val="24"/>
          <w:szCs w:val="24"/>
          <w:lang w:val="lv-LV"/>
        </w:rPr>
        <w:t>Ozempic</w:t>
      </w:r>
      <w:proofErr w:type="spellEnd"/>
      <w:r w:rsidRPr="00463519">
        <w:rPr>
          <w:rFonts w:ascii="Times New Roman" w:hAnsi="Times New Roman"/>
          <w:i/>
          <w:iCs/>
          <w:sz w:val="24"/>
          <w:szCs w:val="24"/>
          <w:lang w:val="lv-LV"/>
        </w:rPr>
        <w:t xml:space="preserve"> (vispārīgais nosaukums </w:t>
      </w:r>
      <w:proofErr w:type="spellStart"/>
      <w:r w:rsidRPr="00463519">
        <w:rPr>
          <w:rFonts w:ascii="Times New Roman" w:hAnsi="Times New Roman"/>
          <w:i/>
          <w:iCs/>
          <w:sz w:val="24"/>
          <w:szCs w:val="24"/>
          <w:lang w:val="lv-LV"/>
        </w:rPr>
        <w:t>Semaglutidum</w:t>
      </w:r>
      <w:proofErr w:type="spellEnd"/>
      <w:r w:rsidRPr="00463519">
        <w:rPr>
          <w:rFonts w:ascii="Times New Roman" w:hAnsi="Times New Roman"/>
          <w:i/>
          <w:iCs/>
          <w:sz w:val="24"/>
          <w:szCs w:val="24"/>
          <w:lang w:val="lv-LV"/>
        </w:rPr>
        <w:t>)</w:t>
      </w:r>
      <w:r w:rsidRPr="00463519">
        <w:rPr>
          <w:rFonts w:ascii="Times New Roman" w:hAnsi="Times New Roman"/>
          <w:sz w:val="24"/>
          <w:szCs w:val="24"/>
          <w:lang w:val="lv-LV"/>
        </w:rPr>
        <w:t xml:space="preserve"> (turpmāk – Zāles) daudzumu. </w:t>
      </w:r>
    </w:p>
    <w:p w14:paraId="3B077730" w14:textId="77777777" w:rsidR="00463519" w:rsidRPr="00463519" w:rsidRDefault="00463519" w:rsidP="00463519">
      <w:pPr>
        <w:spacing w:after="0" w:line="240" w:lineRule="auto"/>
        <w:ind w:firstLine="720"/>
        <w:jc w:val="both"/>
        <w:rPr>
          <w:rFonts w:ascii="Times New Roman" w:hAnsi="Times New Roman"/>
          <w:sz w:val="24"/>
          <w:szCs w:val="24"/>
          <w:lang w:val="lv-LV"/>
        </w:rPr>
      </w:pPr>
      <w:r w:rsidRPr="00463519">
        <w:rPr>
          <w:rFonts w:ascii="Times New Roman" w:hAnsi="Times New Roman"/>
          <w:sz w:val="24"/>
          <w:szCs w:val="24"/>
          <w:lang w:val="lv-LV"/>
        </w:rPr>
        <w:t>Dienests ir konstatējis:</w:t>
      </w:r>
    </w:p>
    <w:p w14:paraId="2874453B" w14:textId="77777777" w:rsidR="00463519" w:rsidRPr="00463519" w:rsidRDefault="00463519" w:rsidP="00463519">
      <w:pPr>
        <w:pStyle w:val="ListParagraph"/>
        <w:widowControl/>
        <w:numPr>
          <w:ilvl w:val="0"/>
          <w:numId w:val="1"/>
        </w:numPr>
        <w:spacing w:after="0" w:line="240" w:lineRule="auto"/>
        <w:jc w:val="both"/>
        <w:rPr>
          <w:rFonts w:ascii="Times New Roman" w:hAnsi="Times New Roman"/>
          <w:sz w:val="24"/>
          <w:szCs w:val="24"/>
          <w:lang w:val="lv-LV"/>
        </w:rPr>
      </w:pPr>
      <w:r w:rsidRPr="00463519">
        <w:rPr>
          <w:rFonts w:ascii="Times New Roman" w:hAnsi="Times New Roman"/>
          <w:sz w:val="24"/>
          <w:szCs w:val="24"/>
          <w:lang w:val="lv-LV"/>
        </w:rPr>
        <w:t xml:space="preserve">vairumā gadījumu </w:t>
      </w:r>
      <w:r w:rsidRPr="00463519">
        <w:rPr>
          <w:rFonts w:ascii="Times New Roman" w:hAnsi="Times New Roman"/>
          <w:b/>
          <w:bCs/>
          <w:sz w:val="24"/>
          <w:szCs w:val="24"/>
          <w:lang w:val="lv-LV"/>
        </w:rPr>
        <w:t xml:space="preserve">(90%) E-veselībā </w:t>
      </w:r>
      <w:r w:rsidRPr="00463519">
        <w:rPr>
          <w:rFonts w:ascii="Times New Roman" w:hAnsi="Times New Roman"/>
          <w:sz w:val="24"/>
          <w:szCs w:val="24"/>
          <w:lang w:val="lv-LV"/>
        </w:rPr>
        <w:t>pozīcijā “Ārstniecības līdzeklis” sadaļā “izrakstītais daudzums”, kas atbilstoši normatīvajam regulējumam ir devu skaits,</w:t>
      </w:r>
      <w:r w:rsidRPr="00463519">
        <w:rPr>
          <w:rFonts w:ascii="Times New Roman" w:hAnsi="Times New Roman"/>
          <w:b/>
          <w:bCs/>
          <w:sz w:val="24"/>
          <w:szCs w:val="24"/>
          <w:lang w:val="lv-LV"/>
        </w:rPr>
        <w:t xml:space="preserve"> sakrīt</w:t>
      </w:r>
      <w:r w:rsidRPr="00463519">
        <w:rPr>
          <w:rFonts w:ascii="Times New Roman" w:hAnsi="Times New Roman"/>
          <w:sz w:val="24"/>
          <w:szCs w:val="24"/>
          <w:lang w:val="lv-LV"/>
        </w:rPr>
        <w:t xml:space="preserve"> ar VIS BMANS apmaksāto zāļu “daudzumu”, kas ir oriģinālu skaits, kas saskaņā ar atbilstošajā periodā spēkā esošo Noteikumu Nr.175 3. pielikuma “Recepšu aizpildīšanas prasības” 3. punktu, </w:t>
      </w:r>
      <w:proofErr w:type="spellStart"/>
      <w:r w:rsidRPr="00463519">
        <w:rPr>
          <w:rFonts w:ascii="Times New Roman" w:hAnsi="Times New Roman"/>
          <w:sz w:val="24"/>
          <w:szCs w:val="24"/>
          <w:lang w:val="lv-LV"/>
        </w:rPr>
        <w:t>pirmsšķietami</w:t>
      </w:r>
      <w:proofErr w:type="spellEnd"/>
      <w:r w:rsidRPr="00463519">
        <w:rPr>
          <w:rFonts w:ascii="Times New Roman" w:hAnsi="Times New Roman"/>
          <w:sz w:val="24"/>
          <w:szCs w:val="24"/>
          <w:lang w:val="lv-LV"/>
        </w:rPr>
        <w:t xml:space="preserve"> </w:t>
      </w:r>
      <w:r w:rsidRPr="00463519">
        <w:rPr>
          <w:rFonts w:ascii="Times New Roman" w:hAnsi="Times New Roman"/>
          <w:b/>
          <w:bCs/>
          <w:sz w:val="24"/>
          <w:szCs w:val="24"/>
          <w:u w:val="single"/>
          <w:lang w:val="lv-LV"/>
        </w:rPr>
        <w:t>neatbilst normatīvo aktu prasībām;</w:t>
      </w:r>
    </w:p>
    <w:p w14:paraId="0F90A547" w14:textId="77777777" w:rsidR="00463519" w:rsidRPr="00463519" w:rsidRDefault="00463519" w:rsidP="00463519">
      <w:pPr>
        <w:pStyle w:val="ListParagraph"/>
        <w:widowControl/>
        <w:numPr>
          <w:ilvl w:val="0"/>
          <w:numId w:val="1"/>
        </w:numPr>
        <w:spacing w:after="0" w:line="240" w:lineRule="auto"/>
        <w:jc w:val="both"/>
        <w:rPr>
          <w:rFonts w:ascii="Times New Roman" w:hAnsi="Times New Roman"/>
          <w:sz w:val="24"/>
          <w:szCs w:val="24"/>
          <w:lang w:val="lv-LV"/>
        </w:rPr>
      </w:pPr>
      <w:r w:rsidRPr="00463519">
        <w:rPr>
          <w:rFonts w:ascii="Times New Roman" w:hAnsi="Times New Roman"/>
          <w:sz w:val="24"/>
          <w:szCs w:val="24"/>
          <w:lang w:val="lv-LV"/>
        </w:rPr>
        <w:lastRenderedPageBreak/>
        <w:t xml:space="preserve">atsevišķos gadījumos VIS BMANS apmaksai ir </w:t>
      </w:r>
      <w:r w:rsidRPr="00463519">
        <w:rPr>
          <w:rFonts w:ascii="Times New Roman" w:hAnsi="Times New Roman"/>
          <w:b/>
          <w:bCs/>
          <w:sz w:val="24"/>
          <w:szCs w:val="24"/>
          <w:u w:val="single"/>
          <w:lang w:val="lv-LV"/>
        </w:rPr>
        <w:t>uzrādīts lielāks daudzums</w:t>
      </w:r>
      <w:r w:rsidRPr="00463519">
        <w:rPr>
          <w:rFonts w:ascii="Times New Roman" w:hAnsi="Times New Roman"/>
          <w:sz w:val="24"/>
          <w:szCs w:val="24"/>
          <w:lang w:val="lv-LV"/>
        </w:rPr>
        <w:t xml:space="preserve"> kā salīdzinot ar E-veselībā receptē izrakstīto daudzumu un izsniegšanas ziņojumā norādīto apjomu, t.sk. </w:t>
      </w:r>
      <w:proofErr w:type="spellStart"/>
      <w:r w:rsidRPr="00463519">
        <w:rPr>
          <w:rFonts w:ascii="Times New Roman" w:hAnsi="Times New Roman"/>
          <w:sz w:val="24"/>
          <w:szCs w:val="24"/>
          <w:lang w:val="lv-LV"/>
        </w:rPr>
        <w:t>atprečoto</w:t>
      </w:r>
      <w:proofErr w:type="spellEnd"/>
      <w:r w:rsidRPr="00463519">
        <w:rPr>
          <w:rFonts w:ascii="Times New Roman" w:hAnsi="Times New Roman"/>
          <w:sz w:val="24"/>
          <w:szCs w:val="24"/>
          <w:lang w:val="lv-LV"/>
        </w:rPr>
        <w:t xml:space="preserve"> daudzumu (iepakojumu skaitu);</w:t>
      </w:r>
    </w:p>
    <w:p w14:paraId="3B215B27" w14:textId="77777777" w:rsidR="00463519" w:rsidRPr="00463519" w:rsidRDefault="00463519" w:rsidP="00463519">
      <w:pPr>
        <w:pStyle w:val="ListParagraph"/>
        <w:widowControl/>
        <w:numPr>
          <w:ilvl w:val="0"/>
          <w:numId w:val="1"/>
        </w:numPr>
        <w:spacing w:after="0" w:line="240" w:lineRule="auto"/>
        <w:jc w:val="both"/>
        <w:rPr>
          <w:rFonts w:ascii="Times New Roman" w:hAnsi="Times New Roman"/>
          <w:sz w:val="24"/>
          <w:szCs w:val="24"/>
          <w:lang w:val="lv-LV"/>
        </w:rPr>
      </w:pPr>
      <w:r w:rsidRPr="00463519">
        <w:rPr>
          <w:rFonts w:ascii="Times New Roman" w:hAnsi="Times New Roman"/>
          <w:sz w:val="24"/>
          <w:szCs w:val="24"/>
          <w:lang w:val="lv-LV"/>
        </w:rPr>
        <w:t xml:space="preserve">dažos gadījumos izsniegtas zāles </w:t>
      </w:r>
      <w:proofErr w:type="spellStart"/>
      <w:r w:rsidRPr="00463519">
        <w:rPr>
          <w:rFonts w:ascii="Times New Roman" w:hAnsi="Times New Roman"/>
          <w:i/>
          <w:iCs/>
          <w:sz w:val="24"/>
          <w:szCs w:val="24"/>
          <w:lang w:val="lv-LV"/>
        </w:rPr>
        <w:t>Ozempic</w:t>
      </w:r>
      <w:proofErr w:type="spellEnd"/>
      <w:r w:rsidRPr="00463519">
        <w:rPr>
          <w:rFonts w:ascii="Times New Roman" w:hAnsi="Times New Roman"/>
          <w:i/>
          <w:iCs/>
          <w:sz w:val="24"/>
          <w:szCs w:val="24"/>
          <w:lang w:val="lv-LV"/>
        </w:rPr>
        <w:t xml:space="preserve"> (vispārīgais nosaukums </w:t>
      </w:r>
      <w:proofErr w:type="spellStart"/>
      <w:r w:rsidRPr="00463519">
        <w:rPr>
          <w:rFonts w:ascii="Times New Roman" w:hAnsi="Times New Roman"/>
          <w:i/>
          <w:iCs/>
          <w:sz w:val="24"/>
          <w:szCs w:val="24"/>
          <w:lang w:val="lv-LV"/>
        </w:rPr>
        <w:t>Semaglutidum</w:t>
      </w:r>
      <w:proofErr w:type="spellEnd"/>
      <w:r w:rsidRPr="00463519">
        <w:rPr>
          <w:rFonts w:ascii="Times New Roman" w:hAnsi="Times New Roman"/>
          <w:i/>
          <w:iCs/>
          <w:sz w:val="24"/>
          <w:szCs w:val="24"/>
          <w:lang w:val="lv-LV"/>
        </w:rPr>
        <w:t>)</w:t>
      </w:r>
      <w:r w:rsidRPr="00463519">
        <w:rPr>
          <w:rFonts w:ascii="Times New Roman" w:hAnsi="Times New Roman"/>
          <w:sz w:val="24"/>
          <w:szCs w:val="24"/>
          <w:lang w:val="lv-LV"/>
        </w:rPr>
        <w:t xml:space="preserve">, taču </w:t>
      </w:r>
      <w:r w:rsidRPr="00463519">
        <w:rPr>
          <w:rFonts w:ascii="Times New Roman" w:hAnsi="Times New Roman"/>
          <w:b/>
          <w:bCs/>
          <w:sz w:val="24"/>
          <w:szCs w:val="24"/>
          <w:u w:val="single"/>
          <w:lang w:val="lv-LV"/>
        </w:rPr>
        <w:t>izrakstītas citas zāles</w:t>
      </w:r>
      <w:r w:rsidRPr="00463519">
        <w:rPr>
          <w:rFonts w:ascii="Times New Roman" w:hAnsi="Times New Roman"/>
          <w:sz w:val="24"/>
          <w:szCs w:val="24"/>
          <w:lang w:val="lv-LV"/>
        </w:rPr>
        <w:t>;</w:t>
      </w:r>
    </w:p>
    <w:p w14:paraId="09B2B027" w14:textId="77777777" w:rsidR="00463519" w:rsidRPr="00463519" w:rsidRDefault="00463519" w:rsidP="00463519">
      <w:pPr>
        <w:pStyle w:val="ListParagraph"/>
        <w:widowControl/>
        <w:numPr>
          <w:ilvl w:val="0"/>
          <w:numId w:val="1"/>
        </w:numPr>
        <w:spacing w:after="0" w:line="240" w:lineRule="auto"/>
        <w:jc w:val="both"/>
        <w:rPr>
          <w:rFonts w:ascii="Times New Roman" w:hAnsi="Times New Roman"/>
          <w:sz w:val="24"/>
          <w:szCs w:val="24"/>
          <w:lang w:val="lv-LV"/>
        </w:rPr>
      </w:pPr>
      <w:r w:rsidRPr="00463519">
        <w:rPr>
          <w:rFonts w:ascii="Times New Roman" w:hAnsi="Times New Roman"/>
          <w:sz w:val="24"/>
          <w:szCs w:val="24"/>
          <w:lang w:val="lv-LV"/>
        </w:rPr>
        <w:t>izsniegts cits zāļu stiprums.</w:t>
      </w:r>
    </w:p>
    <w:p w14:paraId="271C7880" w14:textId="77777777" w:rsidR="00463519" w:rsidRPr="00463519" w:rsidRDefault="00463519" w:rsidP="00463519">
      <w:pPr>
        <w:spacing w:after="0" w:line="240" w:lineRule="auto"/>
        <w:ind w:firstLine="720"/>
        <w:jc w:val="both"/>
        <w:rPr>
          <w:rFonts w:ascii="Times New Roman" w:hAnsi="Times New Roman"/>
          <w:sz w:val="24"/>
          <w:szCs w:val="24"/>
          <w:lang w:val="lv-LV"/>
        </w:rPr>
      </w:pPr>
    </w:p>
    <w:p w14:paraId="0A47800C" w14:textId="77777777" w:rsidR="00463519" w:rsidRPr="00463519" w:rsidRDefault="00463519" w:rsidP="00463519">
      <w:pPr>
        <w:spacing w:after="0" w:line="240" w:lineRule="auto"/>
        <w:ind w:firstLine="720"/>
        <w:jc w:val="both"/>
        <w:rPr>
          <w:rFonts w:ascii="Times New Roman" w:hAnsi="Times New Roman"/>
          <w:sz w:val="24"/>
          <w:szCs w:val="24"/>
          <w:lang w:val="lv-LV"/>
        </w:rPr>
      </w:pPr>
      <w:r w:rsidRPr="00463519">
        <w:rPr>
          <w:rFonts w:ascii="Times New Roman" w:hAnsi="Times New Roman"/>
          <w:sz w:val="24"/>
          <w:szCs w:val="24"/>
          <w:lang w:val="lv-LV"/>
        </w:rPr>
        <w:t>Dienests vērš aptieku uzmanību, ka vērtē kā korektu, piemēram, gadījumu, kad atbilstoši receptē izrakstītajām Zālēm ar stiprumu 1 mg, kad izrakstītas devu skaits ir 12, lietošanai ar 1 devu reizi nedēļā trīs mēnešu kursam, aptieka ir izsniegusi 3 zāļu iepakojumus atbilstošajā stiprumā.</w:t>
      </w:r>
    </w:p>
    <w:p w14:paraId="74081304" w14:textId="77777777" w:rsidR="00463519" w:rsidRPr="00463519" w:rsidRDefault="00463519" w:rsidP="00463519">
      <w:pPr>
        <w:spacing w:after="0" w:line="240" w:lineRule="auto"/>
        <w:ind w:firstLine="720"/>
        <w:jc w:val="both"/>
        <w:rPr>
          <w:rFonts w:ascii="Times New Roman" w:hAnsi="Times New Roman"/>
          <w:color w:val="EE0000"/>
          <w:sz w:val="24"/>
          <w:szCs w:val="24"/>
          <w:lang w:val="lv-LV"/>
        </w:rPr>
      </w:pPr>
    </w:p>
    <w:p w14:paraId="74CE654E" w14:textId="77777777" w:rsidR="00463519" w:rsidRPr="00463519" w:rsidRDefault="00463519" w:rsidP="00463519">
      <w:pPr>
        <w:pStyle w:val="Header"/>
        <w:numPr>
          <w:ilvl w:val="0"/>
          <w:numId w:val="3"/>
        </w:numPr>
        <w:tabs>
          <w:tab w:val="left" w:pos="720"/>
        </w:tabs>
        <w:jc w:val="both"/>
        <w:rPr>
          <w:rFonts w:ascii="Times New Roman" w:hAnsi="Times New Roman"/>
          <w:b/>
          <w:bCs/>
          <w:sz w:val="24"/>
          <w:szCs w:val="24"/>
          <w:lang w:val="lv-LV"/>
        </w:rPr>
      </w:pPr>
      <w:r w:rsidRPr="00463519">
        <w:rPr>
          <w:rFonts w:ascii="Times New Roman" w:hAnsi="Times New Roman"/>
          <w:b/>
          <w:bCs/>
          <w:sz w:val="24"/>
          <w:szCs w:val="24"/>
          <w:lang w:val="lv-LV"/>
        </w:rPr>
        <w:t>Turpmākās Dienesta darbības</w:t>
      </w:r>
    </w:p>
    <w:p w14:paraId="2D114E0F" w14:textId="77777777" w:rsidR="00463519" w:rsidRPr="00463519" w:rsidRDefault="00463519" w:rsidP="00463519">
      <w:pPr>
        <w:pStyle w:val="Header"/>
        <w:tabs>
          <w:tab w:val="left" w:pos="720"/>
        </w:tabs>
        <w:ind w:firstLine="720"/>
        <w:jc w:val="both"/>
        <w:rPr>
          <w:rFonts w:ascii="Times New Roman" w:hAnsi="Times New Roman"/>
          <w:sz w:val="24"/>
          <w:szCs w:val="24"/>
          <w:lang w:val="lv-LV"/>
        </w:rPr>
      </w:pPr>
      <w:r w:rsidRPr="00463519">
        <w:rPr>
          <w:rFonts w:ascii="Times New Roman" w:hAnsi="Times New Roman"/>
          <w:sz w:val="24"/>
          <w:szCs w:val="24"/>
          <w:lang w:val="lv-LV"/>
        </w:rPr>
        <w:t>Tādējādi preventīvi Dienests atgādina aptiekām par korektas informācijas norādīšanu, līguma un normatīvo aktu ievērošanu, izsniedzot kompensējamās zāles un to daudzumu, kā arī pienākumu elektronizēt papīra receptes E-veselībā, ievadot tajā precīzu un autentisku informāciju, t.sk., informē, ka:</w:t>
      </w:r>
    </w:p>
    <w:p w14:paraId="0BEC5E82" w14:textId="77777777" w:rsidR="00463519" w:rsidRPr="00463519" w:rsidRDefault="00463519" w:rsidP="00463519">
      <w:pPr>
        <w:pStyle w:val="Header"/>
        <w:numPr>
          <w:ilvl w:val="0"/>
          <w:numId w:val="2"/>
        </w:numPr>
        <w:tabs>
          <w:tab w:val="left" w:pos="720"/>
        </w:tabs>
        <w:jc w:val="both"/>
        <w:rPr>
          <w:rFonts w:ascii="Times New Roman" w:hAnsi="Times New Roman"/>
          <w:sz w:val="24"/>
          <w:szCs w:val="24"/>
          <w:lang w:val="lv-LV"/>
        </w:rPr>
      </w:pPr>
      <w:r w:rsidRPr="00463519">
        <w:rPr>
          <w:rFonts w:ascii="Times New Roman" w:hAnsi="Times New Roman"/>
          <w:sz w:val="24"/>
          <w:szCs w:val="24"/>
          <w:lang w:val="lv-LV"/>
        </w:rPr>
        <w:t>informatīva vēstule par recepšu izrakstīšanas nosacījumiem atbilstoši normatīvam regulējumam nosūtīta arī visām ārstniecības iestādēm, kurām tiesības izrakstīt īpašo recepti kompensējamo zāļu izsniegšanai, vēršot uzmanību, ka zāles ar valsts kompensāciju drīkst izrakstīt tikai atbilstoši izrakstīšanas nosacījumiem;</w:t>
      </w:r>
    </w:p>
    <w:p w14:paraId="05F25887" w14:textId="77777777" w:rsidR="00463519" w:rsidRPr="00463519" w:rsidRDefault="00463519" w:rsidP="00463519">
      <w:pPr>
        <w:pStyle w:val="Header"/>
        <w:numPr>
          <w:ilvl w:val="0"/>
          <w:numId w:val="2"/>
        </w:numPr>
        <w:tabs>
          <w:tab w:val="left" w:pos="720"/>
        </w:tabs>
        <w:jc w:val="both"/>
        <w:rPr>
          <w:rFonts w:ascii="Times New Roman" w:hAnsi="Times New Roman"/>
          <w:sz w:val="24"/>
          <w:szCs w:val="24"/>
          <w:lang w:val="lv-LV"/>
        </w:rPr>
      </w:pPr>
      <w:r w:rsidRPr="00463519">
        <w:rPr>
          <w:rFonts w:ascii="Times New Roman" w:hAnsi="Times New Roman"/>
          <w:sz w:val="24"/>
          <w:szCs w:val="24"/>
          <w:lang w:val="lv-LV"/>
        </w:rPr>
        <w:t xml:space="preserve">konstatētajos gadījumos, kad VIS BMANS Zāļu daudzums pārsniedz E-veselībā Zāļu izrakstīto daudzumu un izsniegšanas ziņojumā norādīto apjomu, t.sk. </w:t>
      </w:r>
      <w:proofErr w:type="spellStart"/>
      <w:r w:rsidRPr="00463519">
        <w:rPr>
          <w:rFonts w:ascii="Times New Roman" w:hAnsi="Times New Roman"/>
          <w:sz w:val="24"/>
          <w:szCs w:val="24"/>
          <w:lang w:val="lv-LV"/>
        </w:rPr>
        <w:t>atprečoto</w:t>
      </w:r>
      <w:proofErr w:type="spellEnd"/>
      <w:r w:rsidRPr="00463519">
        <w:rPr>
          <w:rFonts w:ascii="Times New Roman" w:hAnsi="Times New Roman"/>
          <w:sz w:val="24"/>
          <w:szCs w:val="24"/>
          <w:lang w:val="lv-LV"/>
        </w:rPr>
        <w:t xml:space="preserve"> daudzumu (iepakojumu skaitu), Dienests sagatavos pārbaudes aktus par pārmaksas atmaksu, t.sk. veicot uzraudzība par visiem kompensējamiem medikamentiem;</w:t>
      </w:r>
    </w:p>
    <w:p w14:paraId="3D3AE878" w14:textId="77777777" w:rsidR="00463519" w:rsidRPr="00463519" w:rsidRDefault="00463519" w:rsidP="00463519">
      <w:pPr>
        <w:pStyle w:val="Header"/>
        <w:numPr>
          <w:ilvl w:val="0"/>
          <w:numId w:val="2"/>
        </w:numPr>
        <w:tabs>
          <w:tab w:val="left" w:pos="720"/>
        </w:tabs>
        <w:jc w:val="both"/>
        <w:rPr>
          <w:rFonts w:ascii="Times New Roman" w:hAnsi="Times New Roman"/>
          <w:sz w:val="24"/>
          <w:szCs w:val="24"/>
          <w:lang w:val="lv-LV"/>
        </w:rPr>
      </w:pPr>
      <w:r w:rsidRPr="00463519">
        <w:rPr>
          <w:rFonts w:ascii="Times New Roman" w:hAnsi="Times New Roman"/>
          <w:sz w:val="24"/>
          <w:szCs w:val="24"/>
          <w:lang w:val="lv-LV"/>
        </w:rPr>
        <w:t xml:space="preserve">Precizēs izrakstīšanas nosacījumus, ar 01.10.2026 nosakot, ka no valsts budžeta netiek apmaksāts, ja tās tiek izrakstītas virs Zāļu aprakstā noteiktajām devām, proti, pārsniedz 2 mg nedēļā; veiks pārbaudes aptiekās pārbaudot, ka no valsts budžeta līdzekļiem </w:t>
      </w:r>
      <w:proofErr w:type="spellStart"/>
      <w:r w:rsidRPr="00463519">
        <w:rPr>
          <w:rFonts w:ascii="Times New Roman" w:hAnsi="Times New Roman"/>
          <w:sz w:val="24"/>
          <w:szCs w:val="24"/>
          <w:lang w:val="lv-LV"/>
        </w:rPr>
        <w:t>atprečo</w:t>
      </w:r>
      <w:proofErr w:type="spellEnd"/>
      <w:r w:rsidRPr="00463519">
        <w:rPr>
          <w:rFonts w:ascii="Times New Roman" w:hAnsi="Times New Roman"/>
          <w:sz w:val="24"/>
          <w:szCs w:val="24"/>
          <w:lang w:val="lv-LV"/>
        </w:rPr>
        <w:t xml:space="preserve"> tikai tādu devu skaitu, kas atbilst izrakstīšanas nosacījumiem;</w:t>
      </w:r>
    </w:p>
    <w:p w14:paraId="17F50AA1" w14:textId="77777777" w:rsidR="00463519" w:rsidRPr="00463519" w:rsidRDefault="00463519" w:rsidP="00463519">
      <w:pPr>
        <w:pStyle w:val="Header"/>
        <w:numPr>
          <w:ilvl w:val="0"/>
          <w:numId w:val="2"/>
        </w:numPr>
        <w:tabs>
          <w:tab w:val="left" w:pos="720"/>
        </w:tabs>
        <w:jc w:val="both"/>
        <w:rPr>
          <w:rFonts w:ascii="Times New Roman" w:hAnsi="Times New Roman"/>
          <w:sz w:val="24"/>
          <w:szCs w:val="24"/>
          <w:lang w:val="lv-LV"/>
        </w:rPr>
      </w:pPr>
      <w:r w:rsidRPr="00463519">
        <w:rPr>
          <w:rFonts w:ascii="Times New Roman" w:hAnsi="Times New Roman"/>
          <w:sz w:val="24"/>
          <w:szCs w:val="24"/>
          <w:lang w:val="lv-LV"/>
        </w:rPr>
        <w:t>veiks atkārtotu/sistemātisku uzraudzību, pārbaudot gan valsts kompensēto apjomu uz pacientu, informāciju no Cukura diabēta reģistra un informāciju no Vadības informācijas sistēmas un E-veselības par cukura diabēta pacienta aprūpi, un atlasot neatbilstības un nosūtot iestādēm (t.sk. aptiekām) ceturkšņa kļūdu ietvaros.</w:t>
      </w:r>
    </w:p>
    <w:p w14:paraId="2EA57D75" w14:textId="77777777" w:rsidR="00463519" w:rsidRPr="00463519" w:rsidRDefault="00463519" w:rsidP="00463519">
      <w:pPr>
        <w:rPr>
          <w:sz w:val="24"/>
          <w:szCs w:val="24"/>
          <w:lang w:val="lv-LV"/>
        </w:rPr>
      </w:pPr>
    </w:p>
    <w:p w14:paraId="530ED543" w14:textId="77777777" w:rsidR="00463519" w:rsidRPr="00463519" w:rsidRDefault="00463519">
      <w:pPr>
        <w:rPr>
          <w:sz w:val="24"/>
          <w:szCs w:val="24"/>
          <w:lang w:val="lv-LV"/>
        </w:rPr>
      </w:pPr>
    </w:p>
    <w:sectPr w:rsidR="00463519" w:rsidRPr="00463519" w:rsidSect="00463519">
      <w:headerReference w:type="default" r:id="rId7"/>
      <w:footerReference w:type="default" r:id="rId8"/>
      <w:footerReference w:type="first" r:id="rId9"/>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EE257" w14:textId="77777777" w:rsidR="00994BF9" w:rsidRDefault="00994BF9" w:rsidP="00463519">
      <w:pPr>
        <w:spacing w:after="0" w:line="240" w:lineRule="auto"/>
      </w:pPr>
      <w:r>
        <w:separator/>
      </w:r>
    </w:p>
  </w:endnote>
  <w:endnote w:type="continuationSeparator" w:id="0">
    <w:p w14:paraId="0340220D" w14:textId="77777777" w:rsidR="00994BF9" w:rsidRDefault="00994BF9" w:rsidP="00463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0E6C2" w14:textId="77777777" w:rsidR="00F9375F" w:rsidRDefault="004F0062" w:rsidP="007C0743">
    <w:pPr>
      <w:tabs>
        <w:tab w:val="left" w:pos="2295"/>
      </w:tabs>
      <w:spacing w:after="0"/>
      <w:jc w:val="center"/>
      <w:rPr>
        <w:rFonts w:ascii="Times New Roman" w:hAnsi="Times New Roman"/>
        <w:sz w:val="24"/>
        <w:lang w:val="lv-LV"/>
      </w:rPr>
    </w:pPr>
    <w:r>
      <w:rPr>
        <w:rFonts w:ascii="Times New Roman" w:hAnsi="Times New Roman"/>
        <w:sz w:val="24"/>
        <w:lang w:val="lv-LV"/>
      </w:rPr>
      <w:t>Dokuments parakstīts ar drošu elektronisko parakstu un satur laika zīmogu</w:t>
    </w:r>
  </w:p>
  <w:p w14:paraId="641188C6" w14:textId="77777777" w:rsidR="00F9375F" w:rsidRPr="00445202" w:rsidRDefault="004F0062" w:rsidP="00445202">
    <w:pPr>
      <w:pStyle w:val="Header"/>
      <w:jc w:val="right"/>
      <w:rPr>
        <w:rFonts w:ascii="Times New Roman" w:hAnsi="Times New Roman"/>
      </w:rPr>
    </w:pPr>
    <w:r w:rsidRPr="00451044">
      <w:rPr>
        <w:rFonts w:ascii="Times New Roman" w:hAnsi="Times New Roman"/>
        <w:noProof/>
      </w:rPr>
      <w:t>Ierobežota pieejamība</w:t>
    </w:r>
    <w:r>
      <w:rPr>
        <w:rFonts w:ascii="Times New Roman" w:hAnsi="Times New Roman"/>
      </w:rPr>
      <w:t xml:space="preserve">                                                                       </w:t>
    </w:r>
    <w:r>
      <w:fldChar w:fldCharType="begin"/>
    </w:r>
    <w:r>
      <w:instrText xml:space="preserve"> PAGE   \* MERGEFORMAT </w:instrText>
    </w:r>
    <w:r>
      <w:fldChar w:fldCharType="separate"/>
    </w:r>
    <w: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BAAF" w14:textId="77777777" w:rsidR="00F9375F" w:rsidRDefault="004F0062" w:rsidP="007C0743">
    <w:pPr>
      <w:tabs>
        <w:tab w:val="left" w:pos="2295"/>
      </w:tabs>
      <w:spacing w:after="0"/>
      <w:jc w:val="center"/>
      <w:rPr>
        <w:rFonts w:ascii="Times New Roman" w:hAnsi="Times New Roman"/>
        <w:sz w:val="24"/>
        <w:lang w:val="lv-LV"/>
      </w:rPr>
    </w:pPr>
    <w:r>
      <w:rPr>
        <w:rFonts w:ascii="Times New Roman" w:hAnsi="Times New Roman"/>
        <w:sz w:val="24"/>
        <w:lang w:val="lv-LV"/>
      </w:rPr>
      <w:t>Dokuments parakstīts ar drošu elektronisko parakstu un satur laika zīmogu</w:t>
    </w:r>
  </w:p>
  <w:p w14:paraId="1185B1EE" w14:textId="77777777" w:rsidR="00F9375F" w:rsidRPr="00445202" w:rsidRDefault="004F0062" w:rsidP="00445202">
    <w:pPr>
      <w:pStyle w:val="Header"/>
      <w:jc w:val="center"/>
      <w:rPr>
        <w:rFonts w:ascii="Times New Roman" w:hAnsi="Times New Roman"/>
      </w:rPr>
    </w:pPr>
    <w:r w:rsidRPr="00451044">
      <w:rPr>
        <w:rFonts w:ascii="Times New Roman" w:hAnsi="Times New Roman"/>
        <w:noProof/>
      </w:rPr>
      <w:t>Ierobežota pieejamība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AA606" w14:textId="77777777" w:rsidR="00994BF9" w:rsidRDefault="00994BF9" w:rsidP="00463519">
      <w:pPr>
        <w:spacing w:after="0" w:line="240" w:lineRule="auto"/>
      </w:pPr>
      <w:r>
        <w:separator/>
      </w:r>
    </w:p>
  </w:footnote>
  <w:footnote w:type="continuationSeparator" w:id="0">
    <w:p w14:paraId="1745EACC" w14:textId="77777777" w:rsidR="00994BF9" w:rsidRDefault="00994BF9" w:rsidP="00463519">
      <w:pPr>
        <w:spacing w:after="0" w:line="240" w:lineRule="auto"/>
      </w:pPr>
      <w:r>
        <w:continuationSeparator/>
      </w:r>
    </w:p>
  </w:footnote>
  <w:footnote w:id="1">
    <w:p w14:paraId="1DCAC979" w14:textId="77777777" w:rsidR="00463519" w:rsidRPr="00E17DF5" w:rsidRDefault="00463519" w:rsidP="00463519">
      <w:pPr>
        <w:pStyle w:val="FootnoteText"/>
        <w:ind w:right="284"/>
        <w:jc w:val="both"/>
      </w:pPr>
      <w:r w:rsidRPr="00E17DF5">
        <w:rPr>
          <w:rStyle w:val="FootnoteReference"/>
        </w:rPr>
        <w:footnoteRef/>
      </w:r>
      <w:r w:rsidRPr="00E17DF5">
        <w:t xml:space="preserve"> 31.10.2006. Ministru kabineta noteikumi Nr. 899 ,,Ambulatorajai ārstēšanai paredzēto zāļu un medicīnisko ierīču iegādes izdevumu kompensācijas kārtība”</w:t>
      </w:r>
      <w:r>
        <w:t xml:space="preserve"> (turpmāk – Noteikumi Nr. 899)</w:t>
      </w:r>
    </w:p>
  </w:footnote>
  <w:footnote w:id="2">
    <w:p w14:paraId="079FE3E1" w14:textId="77777777" w:rsidR="00463519" w:rsidRPr="00E17DF5" w:rsidRDefault="00463519" w:rsidP="00463519">
      <w:pPr>
        <w:pStyle w:val="FootnoteText"/>
        <w:ind w:right="284"/>
        <w:jc w:val="both"/>
      </w:pPr>
      <w:r w:rsidRPr="00E17DF5">
        <w:rPr>
          <w:rStyle w:val="FootnoteReference"/>
        </w:rPr>
        <w:footnoteRef/>
      </w:r>
      <w:r w:rsidRPr="00E17DF5">
        <w:t xml:space="preserve"> </w:t>
      </w:r>
      <w:r w:rsidRPr="00E17DF5">
        <w:t>Pieejams Dienesta tīmekļvietnē https://www.vmnvd.gov.lv Sākums&gt; Profesionāļiem&gt; Kompensējamie medikamenti&gt; Kompensējamo zāļu saraksti&gt;</w:t>
      </w:r>
    </w:p>
  </w:footnote>
  <w:footnote w:id="3">
    <w:p w14:paraId="1BF5D5B4" w14:textId="77777777" w:rsidR="00463519" w:rsidRDefault="00463519" w:rsidP="00463519">
      <w:pPr>
        <w:spacing w:after="0" w:line="240" w:lineRule="auto"/>
        <w:rPr>
          <w:rFonts w:ascii="Times New Roman" w:eastAsia="Times New Roman" w:hAnsi="Times New Roman"/>
          <w:sz w:val="24"/>
          <w:szCs w:val="24"/>
          <w:lang w:val="lv-LV"/>
        </w:rPr>
      </w:pPr>
      <w:r w:rsidRPr="001D3283">
        <w:rPr>
          <w:rFonts w:ascii="Times New Roman" w:eastAsia="Times New Roman" w:hAnsi="Times New Roman"/>
          <w:vertAlign w:val="superscript"/>
        </w:rPr>
        <w:footnoteRef/>
      </w:r>
      <w:r w:rsidRPr="001D3283">
        <w:rPr>
          <w:rFonts w:ascii="Times New Roman" w:eastAsia="Times New Roman" w:hAnsi="Times New Roman"/>
          <w:sz w:val="20"/>
          <w:szCs w:val="20"/>
        </w:rPr>
        <w:t xml:space="preserve"> </w:t>
      </w:r>
      <w:proofErr w:type="spellStart"/>
      <w:r w:rsidRPr="001D3283">
        <w:rPr>
          <w:rFonts w:ascii="Times New Roman" w:eastAsia="Times New Roman" w:hAnsi="Times New Roman"/>
          <w:sz w:val="20"/>
          <w:szCs w:val="20"/>
        </w:rPr>
        <w:t>Pirms</w:t>
      </w:r>
      <w:proofErr w:type="spellEnd"/>
      <w:r w:rsidRPr="001D3283">
        <w:rPr>
          <w:rFonts w:ascii="Times New Roman" w:eastAsia="Times New Roman" w:hAnsi="Times New Roman"/>
          <w:sz w:val="20"/>
          <w:szCs w:val="20"/>
        </w:rPr>
        <w:t xml:space="preserve"> 01.09.2026 </w:t>
      </w:r>
      <w:proofErr w:type="spellStart"/>
      <w:r w:rsidRPr="001D3283">
        <w:rPr>
          <w:rFonts w:ascii="Times New Roman" w:eastAsia="Times New Roman" w:hAnsi="Times New Roman"/>
          <w:sz w:val="20"/>
          <w:szCs w:val="20"/>
        </w:rPr>
        <w:t>spēkā</w:t>
      </w:r>
      <w:proofErr w:type="spellEnd"/>
      <w:r w:rsidRPr="001D3283">
        <w:rPr>
          <w:rFonts w:ascii="Times New Roman" w:eastAsia="Times New Roman" w:hAnsi="Times New Roman"/>
          <w:sz w:val="20"/>
          <w:szCs w:val="20"/>
        </w:rPr>
        <w:t xml:space="preserve"> </w:t>
      </w:r>
      <w:r w:rsidRPr="001D3283">
        <w:rPr>
          <w:rFonts w:ascii="Times New Roman" w:eastAsia="Times New Roman" w:hAnsi="Times New Roman"/>
          <w:sz w:val="20"/>
          <w:szCs w:val="20"/>
          <w:lang w:val="lv-LV"/>
        </w:rPr>
        <w:t xml:space="preserve">Ministru kabineta 08.03.2005.  </w:t>
      </w:r>
      <w:r w:rsidRPr="001D3283">
        <w:rPr>
          <w:rFonts w:ascii="Times New Roman" w:eastAsia="Times New Roman" w:hAnsi="Times New Roman"/>
          <w:sz w:val="20"/>
          <w:szCs w:val="20"/>
          <w:lang w:val="lv-LV"/>
        </w:rPr>
        <w:t>noteikumi Nr. 175 “Recepšu veidlapu izgatavošanas un uzglabāšanas, kā arī recepšu izrakstīšanas un uzglabāšanas noteikumi” (turpmāk - Noteikumu Nr.175)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208C" w14:textId="77777777" w:rsidR="00F9375F" w:rsidRPr="007C0743" w:rsidRDefault="004F0062" w:rsidP="00445202">
    <w:pPr>
      <w:pStyle w:val="Header"/>
      <w:jc w:val="center"/>
      <w:rPr>
        <w:rFonts w:ascii="Times New Roman" w:hAnsi="Times New Roman"/>
      </w:rPr>
    </w:pPr>
    <w:r w:rsidRPr="00451044">
      <w:rPr>
        <w:rFonts w:ascii="Times New Roman" w:hAnsi="Times New Roman"/>
        <w:noProof/>
      </w:rPr>
      <w:t>Ierobežota pieejamība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68CB"/>
    <w:multiLevelType w:val="hybridMultilevel"/>
    <w:tmpl w:val="431C07A0"/>
    <w:lvl w:ilvl="0" w:tplc="9C388D3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5844006A"/>
    <w:multiLevelType w:val="hybridMultilevel"/>
    <w:tmpl w:val="92A44916"/>
    <w:lvl w:ilvl="0" w:tplc="B76E9B38">
      <w:start w:val="1"/>
      <w:numFmt w:val="decimal"/>
      <w:lvlText w:val="%1)"/>
      <w:lvlJc w:val="left"/>
      <w:pPr>
        <w:ind w:left="1080" w:hanging="360"/>
      </w:pPr>
      <w:rPr>
        <w:rFonts w:hint="default"/>
      </w:rPr>
    </w:lvl>
    <w:lvl w:ilvl="1" w:tplc="1D9A0EEE" w:tentative="1">
      <w:start w:val="1"/>
      <w:numFmt w:val="lowerLetter"/>
      <w:lvlText w:val="%2."/>
      <w:lvlJc w:val="left"/>
      <w:pPr>
        <w:ind w:left="1800" w:hanging="360"/>
      </w:pPr>
    </w:lvl>
    <w:lvl w:ilvl="2" w:tplc="1E88AA5A" w:tentative="1">
      <w:start w:val="1"/>
      <w:numFmt w:val="lowerRoman"/>
      <w:lvlText w:val="%3."/>
      <w:lvlJc w:val="right"/>
      <w:pPr>
        <w:ind w:left="2520" w:hanging="180"/>
      </w:pPr>
    </w:lvl>
    <w:lvl w:ilvl="3" w:tplc="CDEEE150" w:tentative="1">
      <w:start w:val="1"/>
      <w:numFmt w:val="decimal"/>
      <w:lvlText w:val="%4."/>
      <w:lvlJc w:val="left"/>
      <w:pPr>
        <w:ind w:left="3240" w:hanging="360"/>
      </w:pPr>
    </w:lvl>
    <w:lvl w:ilvl="4" w:tplc="4A92373E" w:tentative="1">
      <w:start w:val="1"/>
      <w:numFmt w:val="lowerLetter"/>
      <w:lvlText w:val="%5."/>
      <w:lvlJc w:val="left"/>
      <w:pPr>
        <w:ind w:left="3960" w:hanging="360"/>
      </w:pPr>
    </w:lvl>
    <w:lvl w:ilvl="5" w:tplc="8EACDF1C" w:tentative="1">
      <w:start w:val="1"/>
      <w:numFmt w:val="lowerRoman"/>
      <w:lvlText w:val="%6."/>
      <w:lvlJc w:val="right"/>
      <w:pPr>
        <w:ind w:left="4680" w:hanging="180"/>
      </w:pPr>
    </w:lvl>
    <w:lvl w:ilvl="6" w:tplc="CE36AAF8" w:tentative="1">
      <w:start w:val="1"/>
      <w:numFmt w:val="decimal"/>
      <w:lvlText w:val="%7."/>
      <w:lvlJc w:val="left"/>
      <w:pPr>
        <w:ind w:left="5400" w:hanging="360"/>
      </w:pPr>
    </w:lvl>
    <w:lvl w:ilvl="7" w:tplc="57388152" w:tentative="1">
      <w:start w:val="1"/>
      <w:numFmt w:val="lowerLetter"/>
      <w:lvlText w:val="%8."/>
      <w:lvlJc w:val="left"/>
      <w:pPr>
        <w:ind w:left="6120" w:hanging="360"/>
      </w:pPr>
    </w:lvl>
    <w:lvl w:ilvl="8" w:tplc="B900D85C" w:tentative="1">
      <w:start w:val="1"/>
      <w:numFmt w:val="lowerRoman"/>
      <w:lvlText w:val="%9."/>
      <w:lvlJc w:val="right"/>
      <w:pPr>
        <w:ind w:left="6840" w:hanging="180"/>
      </w:pPr>
    </w:lvl>
  </w:abstractNum>
  <w:abstractNum w:abstractNumId="2" w15:restartNumberingAfterBreak="0">
    <w:nsid w:val="5BBB62CF"/>
    <w:multiLevelType w:val="hybridMultilevel"/>
    <w:tmpl w:val="F9420C58"/>
    <w:lvl w:ilvl="0" w:tplc="5498C0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391927339">
    <w:abstractNumId w:val="1"/>
  </w:num>
  <w:num w:numId="2" w16cid:durableId="1798065382">
    <w:abstractNumId w:val="0"/>
  </w:num>
  <w:num w:numId="3" w16cid:durableId="1415781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19"/>
    <w:rsid w:val="00036426"/>
    <w:rsid w:val="00463519"/>
    <w:rsid w:val="004C2745"/>
    <w:rsid w:val="004F0062"/>
    <w:rsid w:val="00727B29"/>
    <w:rsid w:val="00800279"/>
    <w:rsid w:val="00875B87"/>
    <w:rsid w:val="00994BF9"/>
    <w:rsid w:val="009C5BA8"/>
    <w:rsid w:val="00A306CF"/>
    <w:rsid w:val="00A33640"/>
    <w:rsid w:val="00B40011"/>
    <w:rsid w:val="00B84E57"/>
    <w:rsid w:val="00F937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0A462"/>
  <w15:chartTrackingRefBased/>
  <w15:docId w15:val="{C011129C-5AAD-483B-8061-C986637E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519"/>
    <w:pPr>
      <w:widowControl w:val="0"/>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463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3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35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35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35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35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35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35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35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35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35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35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35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35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35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35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35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3519"/>
    <w:rPr>
      <w:rFonts w:eastAsiaTheme="majorEastAsia" w:cstheme="majorBidi"/>
      <w:color w:val="272727" w:themeColor="text1" w:themeTint="D8"/>
    </w:rPr>
  </w:style>
  <w:style w:type="paragraph" w:styleId="Title">
    <w:name w:val="Title"/>
    <w:basedOn w:val="Normal"/>
    <w:next w:val="Normal"/>
    <w:link w:val="TitleChar"/>
    <w:uiPriority w:val="10"/>
    <w:qFormat/>
    <w:rsid w:val="00463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35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35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35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3519"/>
    <w:pPr>
      <w:spacing w:before="160"/>
      <w:jc w:val="center"/>
    </w:pPr>
    <w:rPr>
      <w:i/>
      <w:iCs/>
      <w:color w:val="404040" w:themeColor="text1" w:themeTint="BF"/>
    </w:rPr>
  </w:style>
  <w:style w:type="character" w:customStyle="1" w:styleId="QuoteChar">
    <w:name w:val="Quote Char"/>
    <w:basedOn w:val="DefaultParagraphFont"/>
    <w:link w:val="Quote"/>
    <w:uiPriority w:val="29"/>
    <w:rsid w:val="00463519"/>
    <w:rPr>
      <w:i/>
      <w:iCs/>
      <w:color w:val="404040" w:themeColor="text1" w:themeTint="BF"/>
    </w:rPr>
  </w:style>
  <w:style w:type="paragraph" w:styleId="ListParagraph">
    <w:name w:val="List Paragraph"/>
    <w:basedOn w:val="Normal"/>
    <w:uiPriority w:val="34"/>
    <w:qFormat/>
    <w:rsid w:val="00463519"/>
    <w:pPr>
      <w:ind w:left="720"/>
      <w:contextualSpacing/>
    </w:pPr>
  </w:style>
  <w:style w:type="character" w:styleId="IntenseEmphasis">
    <w:name w:val="Intense Emphasis"/>
    <w:basedOn w:val="DefaultParagraphFont"/>
    <w:uiPriority w:val="21"/>
    <w:qFormat/>
    <w:rsid w:val="00463519"/>
    <w:rPr>
      <w:i/>
      <w:iCs/>
      <w:color w:val="0F4761" w:themeColor="accent1" w:themeShade="BF"/>
    </w:rPr>
  </w:style>
  <w:style w:type="paragraph" w:styleId="IntenseQuote">
    <w:name w:val="Intense Quote"/>
    <w:basedOn w:val="Normal"/>
    <w:next w:val="Normal"/>
    <w:link w:val="IntenseQuoteChar"/>
    <w:uiPriority w:val="30"/>
    <w:qFormat/>
    <w:rsid w:val="00463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3519"/>
    <w:rPr>
      <w:i/>
      <w:iCs/>
      <w:color w:val="0F4761" w:themeColor="accent1" w:themeShade="BF"/>
    </w:rPr>
  </w:style>
  <w:style w:type="character" w:styleId="IntenseReference">
    <w:name w:val="Intense Reference"/>
    <w:basedOn w:val="DefaultParagraphFont"/>
    <w:uiPriority w:val="32"/>
    <w:qFormat/>
    <w:rsid w:val="00463519"/>
    <w:rPr>
      <w:b/>
      <w:bCs/>
      <w:smallCaps/>
      <w:color w:val="0F4761" w:themeColor="accent1" w:themeShade="BF"/>
      <w:spacing w:val="5"/>
    </w:rPr>
  </w:style>
  <w:style w:type="paragraph" w:styleId="Header">
    <w:name w:val="header"/>
    <w:basedOn w:val="Normal"/>
    <w:link w:val="HeaderChar"/>
    <w:uiPriority w:val="99"/>
    <w:unhideWhenUsed/>
    <w:rsid w:val="00463519"/>
    <w:pPr>
      <w:tabs>
        <w:tab w:val="center" w:pos="4320"/>
        <w:tab w:val="right" w:pos="8640"/>
      </w:tabs>
      <w:spacing w:after="0" w:line="240" w:lineRule="auto"/>
    </w:pPr>
  </w:style>
  <w:style w:type="character" w:customStyle="1" w:styleId="HeaderChar">
    <w:name w:val="Header Char"/>
    <w:basedOn w:val="DefaultParagraphFont"/>
    <w:link w:val="Header"/>
    <w:uiPriority w:val="99"/>
    <w:rsid w:val="00463519"/>
    <w:rPr>
      <w:rFonts w:ascii="Calibri" w:eastAsia="Calibri" w:hAnsi="Calibri" w:cs="Times New Roman"/>
      <w:kern w:val="0"/>
      <w:sz w:val="22"/>
      <w:szCs w:val="22"/>
      <w:lang w:val="en-US"/>
      <w14:ligatures w14:val="none"/>
    </w:rPr>
  </w:style>
  <w:style w:type="paragraph" w:styleId="FootnoteText">
    <w:name w:val="footnote text"/>
    <w:aliases w:val="Char,Char Rakstz. Rakstz. Rakstz.,Footnote,Fußnote,Fußnote Rakstz. Rakstz. R,Fußnote Rakstz. Rakstz. Rakstz. Rakstz.,Fußnote Rakstz. Rakstz. Rakstz. Rakstz. Rakstz.,Fußnote Rakstz. Rakstz. Rakstz. Rakstz. Rakstz. Rakstz."/>
    <w:basedOn w:val="Normal"/>
    <w:link w:val="FootnoteTextChar"/>
    <w:uiPriority w:val="99"/>
    <w:qFormat/>
    <w:rsid w:val="00463519"/>
    <w:pPr>
      <w:widowControl/>
      <w:overflowPunct w:val="0"/>
      <w:autoSpaceDE w:val="0"/>
      <w:autoSpaceDN w:val="0"/>
      <w:adjustRightInd w:val="0"/>
      <w:spacing w:after="0" w:line="240" w:lineRule="auto"/>
      <w:textAlignment w:val="baseline"/>
    </w:pPr>
    <w:rPr>
      <w:rFonts w:ascii="Times New Roman" w:eastAsia="Times New Roman" w:hAnsi="Times New Roman"/>
      <w:sz w:val="20"/>
      <w:szCs w:val="20"/>
      <w:lang w:val="lv-LV"/>
    </w:rPr>
  </w:style>
  <w:style w:type="character" w:customStyle="1" w:styleId="FootnoteTextChar">
    <w:name w:val="Footnote Text Char"/>
    <w:aliases w:val="Char Char,Char Rakstz. Rakstz. Rakstz. Char,Footnote Char,Fußnote Char,Fußnote Rakstz. Rakstz. R Char,Fußnote Rakstz. Rakstz. Rakstz. Rakstz. Char,Fußnote Rakstz. Rakstz. Rakstz. Rakstz. Rakstz. Char"/>
    <w:basedOn w:val="DefaultParagraphFont"/>
    <w:link w:val="FootnoteText"/>
    <w:uiPriority w:val="99"/>
    <w:qFormat/>
    <w:rsid w:val="00463519"/>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qFormat/>
    <w:rsid w:val="00463519"/>
    <w:rPr>
      <w:vertAlign w:val="superscript"/>
    </w:rPr>
  </w:style>
  <w:style w:type="paragraph" w:customStyle="1" w:styleId="CharCharCharChar">
    <w:name w:val="Char Char Char Char"/>
    <w:aliases w:val="Char2"/>
    <w:basedOn w:val="Normal"/>
    <w:next w:val="Normal"/>
    <w:link w:val="FootnoteReference"/>
    <w:uiPriority w:val="99"/>
    <w:rsid w:val="00463519"/>
    <w:pPr>
      <w:widowControl/>
      <w:spacing w:after="160" w:line="240" w:lineRule="exact"/>
      <w:jc w:val="both"/>
    </w:pPr>
    <w:rPr>
      <w:rFonts w:asciiTheme="minorHAnsi" w:eastAsiaTheme="minorHAnsi" w:hAnsiTheme="minorHAnsi" w:cstheme="minorBidi"/>
      <w:kern w:val="2"/>
      <w:sz w:val="24"/>
      <w:szCs w:val="24"/>
      <w:vertAlign w:val="superscript"/>
      <w:lang w:val="lv-LV"/>
      <w14:ligatures w14:val="standardContextual"/>
    </w:rPr>
  </w:style>
  <w:style w:type="paragraph" w:styleId="Footer">
    <w:name w:val="footer"/>
    <w:basedOn w:val="Normal"/>
    <w:link w:val="FooterChar"/>
    <w:uiPriority w:val="99"/>
    <w:unhideWhenUsed/>
    <w:rsid w:val="004635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463519"/>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3492</Words>
  <Characters>1992</Characters>
  <Application>Microsoft Office Word</Application>
  <DocSecurity>0</DocSecurity>
  <Lines>16</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Lihovecka</dc:creator>
  <cp:keywords/>
  <dc:description/>
  <cp:lastModifiedBy>Vineta Leincena</cp:lastModifiedBy>
  <cp:revision>4</cp:revision>
  <dcterms:created xsi:type="dcterms:W3CDTF">2026-09-23T06:57:00Z</dcterms:created>
  <dcterms:modified xsi:type="dcterms:W3CDTF">2026-09-23T10:10:00Z</dcterms:modified>
</cp:coreProperties>
</file>