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774A8" w14:textId="77777777" w:rsidR="004730E3" w:rsidRPr="00A02FCB" w:rsidRDefault="004730E3" w:rsidP="004730E3">
      <w:pPr>
        <w:spacing w:after="0" w:line="240" w:lineRule="auto"/>
        <w:ind w:firstLine="720"/>
        <w:jc w:val="both"/>
        <w:rPr>
          <w:rFonts w:ascii="Times New Roman" w:hAnsi="Times New Roman"/>
          <w:sz w:val="24"/>
          <w:szCs w:val="24"/>
          <w:lang w:val="lv-LV"/>
        </w:rPr>
      </w:pPr>
    </w:p>
    <w:p w14:paraId="78834671" w14:textId="77777777" w:rsidR="004730E3" w:rsidRPr="00A02FCB" w:rsidRDefault="004730E3" w:rsidP="004730E3">
      <w:pPr>
        <w:spacing w:after="0" w:line="240" w:lineRule="auto"/>
        <w:ind w:firstLine="720"/>
        <w:jc w:val="both"/>
        <w:rPr>
          <w:rFonts w:ascii="Times New Roman" w:hAnsi="Times New Roman"/>
          <w:sz w:val="24"/>
          <w:szCs w:val="24"/>
          <w:lang w:val="lv-LV"/>
        </w:rPr>
      </w:pPr>
      <w:r w:rsidRPr="00A02FCB">
        <w:rPr>
          <w:rFonts w:ascii="Times New Roman" w:hAnsi="Times New Roman"/>
          <w:sz w:val="24"/>
          <w:szCs w:val="24"/>
          <w:lang w:val="lv-LV"/>
        </w:rPr>
        <w:t xml:space="preserve">Nacionālais veselības dienests (turpmāk – Dienests) ir veicis pārbaudes par zāļu </w:t>
      </w:r>
      <w:r w:rsidRPr="00A02FCB">
        <w:rPr>
          <w:rFonts w:ascii="Times New Roman" w:hAnsi="Times New Roman"/>
          <w:i/>
          <w:iCs/>
          <w:sz w:val="24"/>
          <w:szCs w:val="24"/>
          <w:lang w:val="lv-LV"/>
        </w:rPr>
        <w:t xml:space="preserve">ar vispārīgo nosaukumu </w:t>
      </w:r>
      <w:proofErr w:type="spellStart"/>
      <w:r w:rsidRPr="00A02FCB">
        <w:rPr>
          <w:rFonts w:ascii="Times New Roman" w:hAnsi="Times New Roman"/>
          <w:i/>
          <w:iCs/>
          <w:sz w:val="24"/>
          <w:szCs w:val="24"/>
          <w:lang w:val="lv-LV"/>
        </w:rPr>
        <w:t>Semaglutidum</w:t>
      </w:r>
      <w:proofErr w:type="spellEnd"/>
      <w:r w:rsidRPr="00A02FCB">
        <w:rPr>
          <w:rFonts w:ascii="Times New Roman" w:hAnsi="Times New Roman"/>
          <w:sz w:val="24"/>
          <w:szCs w:val="24"/>
          <w:lang w:val="lv-LV"/>
        </w:rPr>
        <w:t xml:space="preserve"> (turpmāk – Zāles) izrakstīšanas un izsniegšanas (</w:t>
      </w:r>
      <w:proofErr w:type="spellStart"/>
      <w:r w:rsidRPr="00A02FCB">
        <w:rPr>
          <w:rFonts w:ascii="Times New Roman" w:hAnsi="Times New Roman"/>
          <w:sz w:val="24"/>
          <w:szCs w:val="24"/>
          <w:lang w:val="lv-LV"/>
        </w:rPr>
        <w:t>atprečošanas</w:t>
      </w:r>
      <w:proofErr w:type="spellEnd"/>
      <w:r w:rsidRPr="00A02FCB">
        <w:rPr>
          <w:rFonts w:ascii="Times New Roman" w:hAnsi="Times New Roman"/>
          <w:sz w:val="24"/>
          <w:szCs w:val="24"/>
          <w:lang w:val="lv-LV"/>
        </w:rPr>
        <w:t>) atbilstību normatīvo aktu un līguma prasībām.</w:t>
      </w:r>
    </w:p>
    <w:p w14:paraId="5F324F17" w14:textId="77777777" w:rsidR="004730E3" w:rsidRPr="00A02FCB" w:rsidRDefault="004730E3" w:rsidP="004730E3">
      <w:pPr>
        <w:spacing w:after="0" w:line="240" w:lineRule="auto"/>
        <w:ind w:firstLine="720"/>
        <w:jc w:val="both"/>
        <w:rPr>
          <w:rFonts w:ascii="Times New Roman" w:hAnsi="Times New Roman"/>
          <w:sz w:val="24"/>
          <w:szCs w:val="24"/>
          <w:lang w:val="lv-LV"/>
        </w:rPr>
      </w:pPr>
      <w:r w:rsidRPr="00A02FCB">
        <w:rPr>
          <w:rFonts w:ascii="Times New Roman" w:hAnsi="Times New Roman"/>
          <w:sz w:val="24"/>
          <w:szCs w:val="24"/>
          <w:lang w:val="lv-LV"/>
        </w:rPr>
        <w:t>Noteikumu Nr. 899</w:t>
      </w:r>
      <w:r w:rsidRPr="00A02FCB">
        <w:rPr>
          <w:rFonts w:ascii="Times New Roman" w:hAnsi="Times New Roman"/>
          <w:sz w:val="24"/>
          <w:szCs w:val="24"/>
          <w:vertAlign w:val="superscript"/>
          <w:lang w:val="lv-LV"/>
        </w:rPr>
        <w:footnoteReference w:id="1"/>
      </w:r>
      <w:r w:rsidRPr="00A02FCB">
        <w:rPr>
          <w:rFonts w:ascii="Times New Roman" w:hAnsi="Times New Roman"/>
          <w:sz w:val="24"/>
          <w:szCs w:val="24"/>
          <w:lang w:val="lv-LV"/>
        </w:rPr>
        <w:t xml:space="preserve"> 3. punkts nosaka, ka Kompensējamo zāļu sarakstā</w:t>
      </w:r>
      <w:r w:rsidRPr="00A02FCB">
        <w:rPr>
          <w:rFonts w:ascii="Times New Roman" w:hAnsi="Times New Roman"/>
          <w:sz w:val="24"/>
          <w:szCs w:val="24"/>
          <w:vertAlign w:val="superscript"/>
          <w:lang w:val="lv-LV"/>
        </w:rPr>
        <w:footnoteReference w:id="2"/>
      </w:r>
      <w:r w:rsidRPr="00A02FCB">
        <w:rPr>
          <w:rFonts w:ascii="Times New Roman" w:hAnsi="Times New Roman"/>
          <w:sz w:val="24"/>
          <w:szCs w:val="24"/>
          <w:lang w:val="lv-LV"/>
        </w:rPr>
        <w:t xml:space="preserve"> iekļauto zāļu iegādes izdevumus Dienests sedz, ņemot vērā slimības raksturu un smaguma pakāpi un ievērojot noteiktos kompensācijas ierobežojumus un izrakstīšanas nosacījumus, t.sk. atbilstoši </w:t>
      </w:r>
      <w:r w:rsidRPr="00A02FCB">
        <w:rPr>
          <w:rFonts w:ascii="Times New Roman" w:hAnsi="Times New Roman"/>
          <w:bCs/>
          <w:sz w:val="24"/>
          <w:szCs w:val="24"/>
          <w:lang w:val="lv-LV"/>
        </w:rPr>
        <w:t>Diagnožu un kompensējamo zāļu vispārīgo nosaukumu/medicīnisko ierīču sarakstam</w:t>
      </w:r>
      <w:r w:rsidRPr="00A02FCB">
        <w:rPr>
          <w:rStyle w:val="FootnoteReference"/>
          <w:rFonts w:ascii="Times New Roman" w:hAnsi="Times New Roman"/>
          <w:sz w:val="24"/>
          <w:szCs w:val="24"/>
          <w:lang w:val="lv-LV"/>
        </w:rPr>
        <w:footnoteReference w:id="3"/>
      </w:r>
      <w:r w:rsidRPr="00A02FCB">
        <w:rPr>
          <w:rFonts w:ascii="Times New Roman" w:hAnsi="Times New Roman"/>
          <w:bCs/>
          <w:sz w:val="24"/>
          <w:szCs w:val="24"/>
          <w:lang w:val="lv-LV"/>
        </w:rPr>
        <w:t xml:space="preserve"> (turpmāk – Saraksts).</w:t>
      </w:r>
    </w:p>
    <w:p w14:paraId="281110E1" w14:textId="77777777" w:rsidR="004730E3" w:rsidRPr="00A02FCB" w:rsidRDefault="004730E3" w:rsidP="004730E3">
      <w:pPr>
        <w:spacing w:after="0" w:line="240" w:lineRule="auto"/>
        <w:ind w:firstLine="720"/>
        <w:jc w:val="both"/>
        <w:rPr>
          <w:rFonts w:ascii="Times New Roman" w:hAnsi="Times New Roman"/>
          <w:sz w:val="24"/>
          <w:szCs w:val="24"/>
          <w:lang w:val="lv-LV"/>
        </w:rPr>
      </w:pPr>
    </w:p>
    <w:p w14:paraId="31C15451" w14:textId="77777777" w:rsidR="004730E3" w:rsidRPr="00A02FCB" w:rsidRDefault="004730E3" w:rsidP="004730E3">
      <w:pPr>
        <w:spacing w:after="0" w:line="240" w:lineRule="auto"/>
        <w:ind w:firstLine="720"/>
        <w:jc w:val="both"/>
        <w:rPr>
          <w:rFonts w:ascii="Times New Roman" w:hAnsi="Times New Roman"/>
          <w:i/>
          <w:iCs/>
          <w:color w:val="EE0000"/>
          <w:sz w:val="24"/>
          <w:szCs w:val="24"/>
          <w:lang w:val="lv-LV"/>
        </w:rPr>
      </w:pPr>
      <w:r w:rsidRPr="00A02FCB">
        <w:rPr>
          <w:rFonts w:ascii="Times New Roman" w:hAnsi="Times New Roman"/>
          <w:sz w:val="24"/>
          <w:szCs w:val="24"/>
          <w:lang w:val="lv-LV"/>
        </w:rPr>
        <w:t>Saskaņā ar kompensējamo zāļu izrakstīšanas nosacījumiem atbilstoši Diagnožu un kompensējamo zāļu vispārīgo nosaukumu/medicīnisko ierīču sarakstā (turpmāk - Saraksts)</w:t>
      </w:r>
      <w:r w:rsidRPr="00A02FCB">
        <w:rPr>
          <w:rFonts w:ascii="Times New Roman" w:hAnsi="Times New Roman"/>
          <w:color w:val="EE0000"/>
          <w:sz w:val="24"/>
          <w:szCs w:val="24"/>
          <w:lang w:val="lv-LV"/>
        </w:rPr>
        <w:t xml:space="preserve"> </w:t>
      </w:r>
      <w:r w:rsidRPr="00A02FCB">
        <w:rPr>
          <w:rFonts w:ascii="Times New Roman" w:hAnsi="Times New Roman"/>
          <w:sz w:val="24"/>
          <w:szCs w:val="24"/>
          <w:lang w:val="lv-LV"/>
        </w:rPr>
        <w:t>no 01.05.2026.</w:t>
      </w:r>
      <w:r w:rsidRPr="00A02FCB">
        <w:rPr>
          <w:rFonts w:ascii="Times New Roman" w:hAnsi="Times New Roman"/>
          <w:i/>
          <w:iCs/>
          <w:sz w:val="24"/>
          <w:szCs w:val="24"/>
          <w:lang w:val="lv-LV"/>
        </w:rPr>
        <w:t xml:space="preserve"> </w:t>
      </w:r>
      <w:r w:rsidRPr="00A02FCB">
        <w:rPr>
          <w:rFonts w:ascii="Times New Roman" w:hAnsi="Times New Roman"/>
          <w:sz w:val="24"/>
          <w:szCs w:val="24"/>
          <w:lang w:val="lv-LV"/>
        </w:rPr>
        <w:t xml:space="preserve">par zālēm ar vispārīgo nosaukumu </w:t>
      </w:r>
      <w:proofErr w:type="spellStart"/>
      <w:r w:rsidRPr="00A02FCB">
        <w:rPr>
          <w:rFonts w:ascii="Times New Roman" w:hAnsi="Times New Roman"/>
          <w:i/>
          <w:iCs/>
          <w:sz w:val="24"/>
          <w:szCs w:val="24"/>
          <w:lang w:val="lv-LV"/>
        </w:rPr>
        <w:t>Semaglutidum</w:t>
      </w:r>
      <w:proofErr w:type="spellEnd"/>
      <w:r w:rsidRPr="00A02FCB">
        <w:rPr>
          <w:rFonts w:ascii="Times New Roman" w:hAnsi="Times New Roman"/>
          <w:sz w:val="24"/>
          <w:szCs w:val="24"/>
          <w:lang w:val="lv-LV"/>
        </w:rPr>
        <w:t xml:space="preserve"> noteikts, ka tās ir tiesības izrakstīt pacientiem ar diagnozēm (E11.0-E11.9, E13.0-E13.9): </w:t>
      </w:r>
    </w:p>
    <w:p w14:paraId="60CC7354" w14:textId="77777777" w:rsidR="004730E3" w:rsidRPr="00A02FCB" w:rsidRDefault="004730E3" w:rsidP="004730E3">
      <w:pPr>
        <w:pStyle w:val="Header"/>
        <w:tabs>
          <w:tab w:val="left" w:pos="720"/>
        </w:tabs>
        <w:ind w:firstLine="720"/>
        <w:jc w:val="both"/>
        <w:rPr>
          <w:rFonts w:ascii="Times New Roman" w:hAnsi="Times New Roman"/>
          <w:i/>
          <w:iCs/>
          <w:sz w:val="24"/>
          <w:szCs w:val="24"/>
          <w:lang w:val="lv-LV"/>
        </w:rPr>
      </w:pPr>
      <w:r w:rsidRPr="00A02FCB">
        <w:rPr>
          <w:rFonts w:ascii="Times New Roman" w:hAnsi="Times New Roman"/>
          <w:i/>
          <w:iCs/>
          <w:sz w:val="24"/>
          <w:szCs w:val="24"/>
          <w:lang w:val="lv-LV"/>
        </w:rPr>
        <w:t xml:space="preserve">1. Endokrinologa vai ģimenes ārsta kompetencē. </w:t>
      </w:r>
    </w:p>
    <w:p w14:paraId="1E71376F" w14:textId="77777777" w:rsidR="004730E3" w:rsidRPr="00A02FCB" w:rsidRDefault="004730E3" w:rsidP="004730E3">
      <w:pPr>
        <w:pStyle w:val="Header"/>
        <w:tabs>
          <w:tab w:val="left" w:pos="720"/>
        </w:tabs>
        <w:ind w:firstLine="720"/>
        <w:jc w:val="both"/>
        <w:rPr>
          <w:rFonts w:ascii="Times New Roman" w:hAnsi="Times New Roman"/>
          <w:i/>
          <w:iCs/>
          <w:sz w:val="24"/>
          <w:szCs w:val="24"/>
          <w:lang w:val="lv-LV"/>
        </w:rPr>
      </w:pPr>
      <w:r w:rsidRPr="00A02FCB">
        <w:rPr>
          <w:rFonts w:ascii="Times New Roman" w:hAnsi="Times New Roman"/>
          <w:i/>
          <w:iCs/>
          <w:sz w:val="24"/>
          <w:szCs w:val="24"/>
          <w:lang w:val="lv-LV"/>
        </w:rPr>
        <w:t xml:space="preserve">Pacientiem ar ķermeņa masas indeksu ≥30 kg/m² kombinācijā ar </w:t>
      </w:r>
      <w:proofErr w:type="spellStart"/>
      <w:r w:rsidRPr="00A02FCB">
        <w:rPr>
          <w:rFonts w:ascii="Times New Roman" w:hAnsi="Times New Roman"/>
          <w:i/>
          <w:iCs/>
          <w:sz w:val="24"/>
          <w:szCs w:val="24"/>
          <w:lang w:val="lv-LV"/>
        </w:rPr>
        <w:t>Metforminum</w:t>
      </w:r>
      <w:proofErr w:type="spellEnd"/>
      <w:r w:rsidRPr="00A02FCB">
        <w:rPr>
          <w:rFonts w:ascii="Times New Roman" w:hAnsi="Times New Roman"/>
          <w:i/>
          <w:iCs/>
          <w:sz w:val="24"/>
          <w:szCs w:val="24"/>
          <w:lang w:val="lv-LV"/>
        </w:rPr>
        <w:t xml:space="preserve">, ja trīskāršā terapija, kas satur </w:t>
      </w:r>
      <w:proofErr w:type="spellStart"/>
      <w:r w:rsidRPr="00A02FCB">
        <w:rPr>
          <w:rFonts w:ascii="Times New Roman" w:hAnsi="Times New Roman"/>
          <w:i/>
          <w:iCs/>
          <w:sz w:val="24"/>
          <w:szCs w:val="24"/>
          <w:lang w:val="lv-LV"/>
        </w:rPr>
        <w:t>Metforminum</w:t>
      </w:r>
      <w:proofErr w:type="spellEnd"/>
      <w:r w:rsidRPr="00A02FCB">
        <w:rPr>
          <w:rFonts w:ascii="Times New Roman" w:hAnsi="Times New Roman"/>
          <w:i/>
          <w:iCs/>
          <w:sz w:val="24"/>
          <w:szCs w:val="24"/>
          <w:lang w:val="lv-LV"/>
        </w:rPr>
        <w:t xml:space="preserve">, DPP4 inhibitorus, </w:t>
      </w:r>
      <w:proofErr w:type="spellStart"/>
      <w:r w:rsidRPr="00A02FCB">
        <w:rPr>
          <w:rFonts w:ascii="Times New Roman" w:hAnsi="Times New Roman"/>
          <w:i/>
          <w:iCs/>
          <w:sz w:val="24"/>
          <w:szCs w:val="24"/>
          <w:lang w:val="lv-LV"/>
        </w:rPr>
        <w:t>Pioglitazonum</w:t>
      </w:r>
      <w:proofErr w:type="spellEnd"/>
      <w:r w:rsidRPr="00A02FCB">
        <w:rPr>
          <w:rFonts w:ascii="Times New Roman" w:hAnsi="Times New Roman"/>
          <w:i/>
          <w:iCs/>
          <w:sz w:val="24"/>
          <w:szCs w:val="24"/>
          <w:lang w:val="lv-LV"/>
        </w:rPr>
        <w:t xml:space="preserve">, SGLT2 inhibitorus, nenodrošina pietiekamu </w:t>
      </w:r>
      <w:proofErr w:type="spellStart"/>
      <w:r w:rsidRPr="00A02FCB">
        <w:rPr>
          <w:rFonts w:ascii="Times New Roman" w:hAnsi="Times New Roman"/>
          <w:i/>
          <w:iCs/>
          <w:sz w:val="24"/>
          <w:szCs w:val="24"/>
          <w:lang w:val="lv-LV"/>
        </w:rPr>
        <w:t>glikēmijas</w:t>
      </w:r>
      <w:proofErr w:type="spellEnd"/>
      <w:r w:rsidRPr="00A02FCB">
        <w:rPr>
          <w:rFonts w:ascii="Times New Roman" w:hAnsi="Times New Roman"/>
          <w:i/>
          <w:iCs/>
          <w:sz w:val="24"/>
          <w:szCs w:val="24"/>
          <w:lang w:val="lv-LV"/>
        </w:rPr>
        <w:t xml:space="preserve"> kontroli (HbA1c&lt;7%).</w:t>
      </w:r>
    </w:p>
    <w:p w14:paraId="78684F99" w14:textId="77777777" w:rsidR="004730E3" w:rsidRPr="00A02FCB" w:rsidRDefault="004730E3" w:rsidP="004730E3">
      <w:pPr>
        <w:pStyle w:val="Header"/>
        <w:tabs>
          <w:tab w:val="left" w:pos="720"/>
        </w:tabs>
        <w:ind w:firstLine="720"/>
        <w:jc w:val="both"/>
        <w:rPr>
          <w:rFonts w:ascii="Times New Roman" w:hAnsi="Times New Roman"/>
          <w:i/>
          <w:iCs/>
          <w:sz w:val="24"/>
          <w:szCs w:val="24"/>
          <w:lang w:val="lv-LV"/>
        </w:rPr>
      </w:pPr>
      <w:r w:rsidRPr="00A02FCB">
        <w:rPr>
          <w:rFonts w:ascii="Times New Roman" w:hAnsi="Times New Roman"/>
          <w:i/>
          <w:iCs/>
          <w:sz w:val="24"/>
          <w:szCs w:val="24"/>
          <w:lang w:val="lv-LV"/>
        </w:rPr>
        <w:t xml:space="preserve">2. Endokrinologa vai kardiologa vai ģimenes ārsta kompetencē. </w:t>
      </w:r>
    </w:p>
    <w:p w14:paraId="54C29C36" w14:textId="77777777" w:rsidR="004730E3" w:rsidRPr="00A02FCB" w:rsidRDefault="004730E3" w:rsidP="004730E3">
      <w:pPr>
        <w:pStyle w:val="Header"/>
        <w:tabs>
          <w:tab w:val="left" w:pos="720"/>
        </w:tabs>
        <w:ind w:firstLine="720"/>
        <w:jc w:val="both"/>
        <w:rPr>
          <w:rFonts w:ascii="Times New Roman" w:hAnsi="Times New Roman"/>
          <w:i/>
          <w:iCs/>
          <w:sz w:val="24"/>
          <w:szCs w:val="24"/>
          <w:lang w:val="lv-LV"/>
        </w:rPr>
      </w:pPr>
      <w:r w:rsidRPr="00A02FCB">
        <w:rPr>
          <w:rFonts w:ascii="Times New Roman" w:hAnsi="Times New Roman"/>
          <w:i/>
          <w:iCs/>
          <w:sz w:val="24"/>
          <w:szCs w:val="24"/>
          <w:lang w:val="lv-LV"/>
        </w:rPr>
        <w:t xml:space="preserve">Pacientiem ar pierādītu </w:t>
      </w:r>
      <w:proofErr w:type="spellStart"/>
      <w:r w:rsidRPr="00A02FCB">
        <w:rPr>
          <w:rFonts w:ascii="Times New Roman" w:hAnsi="Times New Roman"/>
          <w:i/>
          <w:iCs/>
          <w:sz w:val="24"/>
          <w:szCs w:val="24"/>
          <w:lang w:val="lv-LV"/>
        </w:rPr>
        <w:t>kardiovaskulāru</w:t>
      </w:r>
      <w:proofErr w:type="spellEnd"/>
      <w:r w:rsidRPr="00A02FCB">
        <w:rPr>
          <w:rFonts w:ascii="Times New Roman" w:hAnsi="Times New Roman"/>
          <w:i/>
          <w:iCs/>
          <w:sz w:val="24"/>
          <w:szCs w:val="24"/>
          <w:lang w:val="lv-LV"/>
        </w:rPr>
        <w:t xml:space="preserve"> slimību anamnēzē, kombinācijā ar/bez </w:t>
      </w:r>
      <w:proofErr w:type="spellStart"/>
      <w:r w:rsidRPr="00A02FCB">
        <w:rPr>
          <w:rFonts w:ascii="Times New Roman" w:hAnsi="Times New Roman"/>
          <w:i/>
          <w:iCs/>
          <w:sz w:val="24"/>
          <w:szCs w:val="24"/>
          <w:lang w:val="lv-LV"/>
        </w:rPr>
        <w:t>Metforminum</w:t>
      </w:r>
      <w:proofErr w:type="spellEnd"/>
      <w:r w:rsidRPr="00A02FCB">
        <w:rPr>
          <w:rFonts w:ascii="Times New Roman" w:hAnsi="Times New Roman"/>
          <w:i/>
          <w:iCs/>
          <w:sz w:val="24"/>
          <w:szCs w:val="24"/>
          <w:lang w:val="lv-LV"/>
        </w:rPr>
        <w:t xml:space="preserve"> un/vai SGLT2 inhibitoriem grupas preparātiem, ja terapija, kas satur </w:t>
      </w:r>
      <w:proofErr w:type="spellStart"/>
      <w:r w:rsidRPr="00A02FCB">
        <w:rPr>
          <w:rFonts w:ascii="Times New Roman" w:hAnsi="Times New Roman"/>
          <w:i/>
          <w:iCs/>
          <w:sz w:val="24"/>
          <w:szCs w:val="24"/>
          <w:lang w:val="lv-LV"/>
        </w:rPr>
        <w:t>Metforminum</w:t>
      </w:r>
      <w:proofErr w:type="spellEnd"/>
      <w:r w:rsidRPr="00A02FCB">
        <w:rPr>
          <w:rFonts w:ascii="Times New Roman" w:hAnsi="Times New Roman"/>
          <w:i/>
          <w:iCs/>
          <w:sz w:val="24"/>
          <w:szCs w:val="24"/>
          <w:lang w:val="lv-LV"/>
        </w:rPr>
        <w:t xml:space="preserve">, SGLT2 inhibitorus, nenodrošina pietiekamu </w:t>
      </w:r>
      <w:proofErr w:type="spellStart"/>
      <w:r w:rsidRPr="00A02FCB">
        <w:rPr>
          <w:rFonts w:ascii="Times New Roman" w:hAnsi="Times New Roman"/>
          <w:i/>
          <w:iCs/>
          <w:sz w:val="24"/>
          <w:szCs w:val="24"/>
          <w:lang w:val="lv-LV"/>
        </w:rPr>
        <w:t>glikēmijas</w:t>
      </w:r>
      <w:proofErr w:type="spellEnd"/>
      <w:r w:rsidRPr="00A02FCB">
        <w:rPr>
          <w:rFonts w:ascii="Times New Roman" w:hAnsi="Times New Roman"/>
          <w:i/>
          <w:iCs/>
          <w:sz w:val="24"/>
          <w:szCs w:val="24"/>
          <w:lang w:val="lv-LV"/>
        </w:rPr>
        <w:t xml:space="preserve"> kontroli (HbA1c&lt;7%).</w:t>
      </w:r>
    </w:p>
    <w:p w14:paraId="48EFB8BB" w14:textId="77777777" w:rsidR="004730E3" w:rsidRPr="00A02FCB" w:rsidRDefault="004730E3" w:rsidP="004730E3">
      <w:pPr>
        <w:pStyle w:val="Header"/>
        <w:tabs>
          <w:tab w:val="left" w:pos="720"/>
        </w:tabs>
        <w:ind w:firstLine="720"/>
        <w:jc w:val="both"/>
        <w:rPr>
          <w:rFonts w:ascii="Times New Roman" w:hAnsi="Times New Roman"/>
          <w:i/>
          <w:iCs/>
          <w:sz w:val="24"/>
          <w:szCs w:val="24"/>
          <w:lang w:val="lv-LV"/>
        </w:rPr>
      </w:pPr>
      <w:r w:rsidRPr="00A02FCB">
        <w:rPr>
          <w:rFonts w:ascii="Times New Roman" w:hAnsi="Times New Roman"/>
          <w:i/>
          <w:iCs/>
          <w:sz w:val="24"/>
          <w:szCs w:val="24"/>
          <w:lang w:val="lv-LV"/>
        </w:rPr>
        <w:t xml:space="preserve">Terapija jāpārtrauc, ja: </w:t>
      </w:r>
    </w:p>
    <w:p w14:paraId="2F8EB41A" w14:textId="77777777" w:rsidR="004730E3" w:rsidRPr="00A02FCB" w:rsidRDefault="004730E3" w:rsidP="004730E3">
      <w:pPr>
        <w:pStyle w:val="Header"/>
        <w:tabs>
          <w:tab w:val="left" w:pos="720"/>
        </w:tabs>
        <w:ind w:firstLine="720"/>
        <w:jc w:val="both"/>
        <w:rPr>
          <w:rFonts w:ascii="Times New Roman" w:hAnsi="Times New Roman"/>
          <w:i/>
          <w:iCs/>
          <w:sz w:val="24"/>
          <w:szCs w:val="24"/>
          <w:lang w:val="lv-LV"/>
        </w:rPr>
      </w:pPr>
      <w:r w:rsidRPr="00A02FCB">
        <w:rPr>
          <w:rFonts w:ascii="Times New Roman" w:hAnsi="Times New Roman"/>
          <w:i/>
          <w:iCs/>
          <w:sz w:val="24"/>
          <w:szCs w:val="24"/>
          <w:lang w:val="lv-LV"/>
        </w:rPr>
        <w:t xml:space="preserve">1) ja pacientam ir nepieciešams uzsākt terapiju ar </w:t>
      </w:r>
      <w:proofErr w:type="spellStart"/>
      <w:r w:rsidRPr="00A02FCB">
        <w:rPr>
          <w:rFonts w:ascii="Times New Roman" w:hAnsi="Times New Roman"/>
          <w:i/>
          <w:iCs/>
          <w:sz w:val="24"/>
          <w:szCs w:val="24"/>
          <w:lang w:val="lv-LV"/>
        </w:rPr>
        <w:t>Insulinum</w:t>
      </w:r>
      <w:proofErr w:type="spellEnd"/>
      <w:r w:rsidRPr="00A02FCB">
        <w:rPr>
          <w:rFonts w:ascii="Times New Roman" w:hAnsi="Times New Roman"/>
          <w:i/>
          <w:iCs/>
          <w:sz w:val="24"/>
          <w:szCs w:val="24"/>
          <w:lang w:val="lv-LV"/>
        </w:rPr>
        <w:t xml:space="preserve">, izņemot pacientus ar ķermeņa masas indeksu &gt; 40 kg/m², </w:t>
      </w:r>
    </w:p>
    <w:p w14:paraId="10A01EF1" w14:textId="77777777" w:rsidR="004730E3" w:rsidRPr="00A02FCB" w:rsidRDefault="004730E3" w:rsidP="004730E3">
      <w:pPr>
        <w:pStyle w:val="Header"/>
        <w:tabs>
          <w:tab w:val="left" w:pos="720"/>
        </w:tabs>
        <w:ind w:firstLine="720"/>
        <w:jc w:val="both"/>
        <w:rPr>
          <w:rFonts w:ascii="Times New Roman" w:hAnsi="Times New Roman"/>
          <w:i/>
          <w:iCs/>
          <w:sz w:val="24"/>
          <w:szCs w:val="24"/>
          <w:lang w:val="lv-LV"/>
        </w:rPr>
      </w:pPr>
      <w:r w:rsidRPr="00A02FCB">
        <w:rPr>
          <w:rFonts w:ascii="Times New Roman" w:hAnsi="Times New Roman"/>
          <w:i/>
          <w:iCs/>
          <w:sz w:val="24"/>
          <w:szCs w:val="24"/>
          <w:lang w:val="lv-LV"/>
        </w:rPr>
        <w:t>2) ja 6 mēnešu laikā netiek sasniegts HbA1c samazinājums vismaz par 1% un/vai svara samazinājums vismaz par 3%.</w:t>
      </w:r>
    </w:p>
    <w:p w14:paraId="69CFC0B1" w14:textId="77777777" w:rsidR="004730E3" w:rsidRDefault="004730E3" w:rsidP="004730E3">
      <w:pPr>
        <w:pStyle w:val="Header"/>
        <w:tabs>
          <w:tab w:val="left" w:pos="720"/>
        </w:tabs>
        <w:ind w:firstLine="720"/>
        <w:jc w:val="both"/>
        <w:rPr>
          <w:rFonts w:ascii="Times New Roman" w:hAnsi="Times New Roman"/>
          <w:i/>
          <w:iCs/>
          <w:sz w:val="24"/>
          <w:szCs w:val="24"/>
          <w:lang w:val="lv-LV"/>
        </w:rPr>
      </w:pPr>
    </w:p>
    <w:p w14:paraId="62202888" w14:textId="77777777" w:rsidR="004730E3" w:rsidRPr="00120FD1" w:rsidRDefault="004730E3" w:rsidP="004730E3">
      <w:pPr>
        <w:pStyle w:val="Header"/>
        <w:numPr>
          <w:ilvl w:val="0"/>
          <w:numId w:val="2"/>
        </w:numPr>
        <w:tabs>
          <w:tab w:val="left" w:pos="720"/>
        </w:tabs>
        <w:jc w:val="both"/>
        <w:rPr>
          <w:rFonts w:ascii="Times New Roman" w:hAnsi="Times New Roman"/>
          <w:b/>
          <w:bCs/>
          <w:sz w:val="24"/>
          <w:szCs w:val="24"/>
          <w:lang w:val="lv-LV"/>
        </w:rPr>
      </w:pPr>
      <w:r w:rsidRPr="00120FD1">
        <w:rPr>
          <w:rFonts w:ascii="Times New Roman" w:hAnsi="Times New Roman"/>
          <w:b/>
          <w:bCs/>
          <w:sz w:val="24"/>
          <w:szCs w:val="24"/>
          <w:lang w:val="lv-LV"/>
        </w:rPr>
        <w:t xml:space="preserve">Riska </w:t>
      </w:r>
      <w:proofErr w:type="spellStart"/>
      <w:r w:rsidRPr="00120FD1">
        <w:rPr>
          <w:rFonts w:ascii="Times New Roman" w:hAnsi="Times New Roman"/>
          <w:b/>
          <w:bCs/>
          <w:sz w:val="24"/>
          <w:szCs w:val="24"/>
          <w:lang w:val="lv-LV"/>
        </w:rPr>
        <w:t>izvērtējums</w:t>
      </w:r>
      <w:proofErr w:type="spellEnd"/>
    </w:p>
    <w:p w14:paraId="06BFC845" w14:textId="1D96DEE1" w:rsidR="004730E3" w:rsidRPr="00A02FCB" w:rsidRDefault="004730E3" w:rsidP="004730E3">
      <w:pPr>
        <w:pStyle w:val="Header"/>
        <w:tabs>
          <w:tab w:val="left" w:pos="720"/>
        </w:tabs>
        <w:jc w:val="both"/>
        <w:rPr>
          <w:rFonts w:ascii="Times New Roman" w:hAnsi="Times New Roman"/>
          <w:sz w:val="24"/>
          <w:szCs w:val="24"/>
          <w:lang w:val="lv-LV"/>
        </w:rPr>
      </w:pPr>
      <w:r>
        <w:rPr>
          <w:rFonts w:ascii="Times New Roman" w:hAnsi="Times New Roman"/>
          <w:sz w:val="24"/>
          <w:szCs w:val="24"/>
          <w:lang w:val="lv-LV"/>
        </w:rPr>
        <w:tab/>
      </w:r>
      <w:r w:rsidRPr="00A02FCB">
        <w:rPr>
          <w:rFonts w:ascii="Times New Roman" w:hAnsi="Times New Roman"/>
          <w:sz w:val="24"/>
          <w:szCs w:val="24"/>
          <w:lang w:val="lv-LV"/>
        </w:rPr>
        <w:t xml:space="preserve">Veicot riska </w:t>
      </w:r>
      <w:proofErr w:type="spellStart"/>
      <w:r w:rsidRPr="00A02FCB">
        <w:rPr>
          <w:rFonts w:ascii="Times New Roman" w:hAnsi="Times New Roman"/>
          <w:sz w:val="24"/>
          <w:szCs w:val="24"/>
          <w:lang w:val="lv-LV"/>
        </w:rPr>
        <w:t>izvērtējumu</w:t>
      </w:r>
      <w:proofErr w:type="spellEnd"/>
      <w:r w:rsidRPr="00A02FCB">
        <w:rPr>
          <w:rStyle w:val="FootnoteReference"/>
          <w:rFonts w:ascii="Times New Roman" w:hAnsi="Times New Roman"/>
          <w:sz w:val="24"/>
          <w:szCs w:val="24"/>
          <w:lang w:val="lv-LV"/>
        </w:rPr>
        <w:footnoteReference w:id="4"/>
      </w:r>
      <w:r w:rsidRPr="00A02FCB">
        <w:rPr>
          <w:rFonts w:ascii="Times New Roman" w:hAnsi="Times New Roman"/>
          <w:sz w:val="24"/>
          <w:szCs w:val="24"/>
          <w:lang w:val="lv-LV"/>
        </w:rPr>
        <w:t xml:space="preserve"> par valsts kompensētām Zālēm 2024.-2025.gadā, Dienests uzsāka pārbaudes vairāk kā 50 iestādēs (ārstniecības iestādes un aptiekas)</w:t>
      </w:r>
      <w:r>
        <w:rPr>
          <w:rFonts w:ascii="Times New Roman" w:hAnsi="Times New Roman"/>
          <w:sz w:val="24"/>
          <w:szCs w:val="24"/>
          <w:lang w:val="lv-LV"/>
        </w:rPr>
        <w:t xml:space="preserve"> par pacientiem, kuriem bija </w:t>
      </w:r>
      <w:r w:rsidRPr="00120FD1">
        <w:rPr>
          <w:rFonts w:ascii="Times New Roman" w:hAnsi="Times New Roman"/>
          <w:sz w:val="24"/>
          <w:szCs w:val="24"/>
          <w:lang w:val="lv-LV"/>
        </w:rPr>
        <w:t xml:space="preserve">liels </w:t>
      </w:r>
      <w:proofErr w:type="spellStart"/>
      <w:r w:rsidRPr="00120FD1">
        <w:rPr>
          <w:rFonts w:ascii="Times New Roman" w:hAnsi="Times New Roman"/>
          <w:sz w:val="24"/>
          <w:szCs w:val="24"/>
          <w:lang w:val="lv-LV"/>
        </w:rPr>
        <w:t>atprečotais</w:t>
      </w:r>
      <w:proofErr w:type="spellEnd"/>
      <w:r w:rsidRPr="00120FD1">
        <w:rPr>
          <w:rFonts w:ascii="Times New Roman" w:hAnsi="Times New Roman"/>
          <w:sz w:val="24"/>
          <w:szCs w:val="24"/>
          <w:lang w:val="lv-LV"/>
        </w:rPr>
        <w:t xml:space="preserve"> apjoms 2024.gadā, t.sk. izrakstīts un </w:t>
      </w:r>
      <w:proofErr w:type="spellStart"/>
      <w:r w:rsidRPr="00120FD1">
        <w:rPr>
          <w:rFonts w:ascii="Times New Roman" w:hAnsi="Times New Roman"/>
          <w:sz w:val="24"/>
          <w:szCs w:val="24"/>
          <w:lang w:val="lv-LV"/>
        </w:rPr>
        <w:t>atprečots</w:t>
      </w:r>
      <w:proofErr w:type="spellEnd"/>
      <w:r w:rsidRPr="00120FD1">
        <w:rPr>
          <w:rFonts w:ascii="Times New Roman" w:hAnsi="Times New Roman"/>
          <w:sz w:val="24"/>
          <w:szCs w:val="24"/>
          <w:lang w:val="lv-LV"/>
        </w:rPr>
        <w:t xml:space="preserve"> arī 2025.gadā,</w:t>
      </w:r>
      <w:r w:rsidR="004F1586">
        <w:rPr>
          <w:rFonts w:ascii="Times New Roman" w:hAnsi="Times New Roman"/>
          <w:sz w:val="24"/>
          <w:szCs w:val="24"/>
          <w:lang w:val="lv-LV"/>
        </w:rPr>
        <w:t xml:space="preserve"> konstatējot, ka</w:t>
      </w:r>
      <w:r w:rsidRPr="00120FD1">
        <w:rPr>
          <w:rFonts w:ascii="Times New Roman" w:hAnsi="Times New Roman"/>
          <w:sz w:val="24"/>
          <w:szCs w:val="24"/>
          <w:lang w:val="lv-LV"/>
        </w:rPr>
        <w:t xml:space="preserve"> nav informācijas Cukura diabēta pacientu reģistrā un </w:t>
      </w:r>
      <w:proofErr w:type="spellStart"/>
      <w:r w:rsidRPr="00120FD1">
        <w:rPr>
          <w:rFonts w:ascii="Times New Roman" w:hAnsi="Times New Roman"/>
          <w:sz w:val="24"/>
          <w:szCs w:val="24"/>
          <w:lang w:val="lv-LV"/>
        </w:rPr>
        <w:t>atprečots</w:t>
      </w:r>
      <w:proofErr w:type="spellEnd"/>
      <w:r w:rsidRPr="00120FD1">
        <w:rPr>
          <w:rFonts w:ascii="Times New Roman" w:hAnsi="Times New Roman"/>
          <w:sz w:val="24"/>
          <w:szCs w:val="24"/>
          <w:lang w:val="lv-LV"/>
        </w:rPr>
        <w:t xml:space="preserve"> tikai </w:t>
      </w:r>
      <w:proofErr w:type="spellStart"/>
      <w:r w:rsidRPr="00120FD1">
        <w:rPr>
          <w:rFonts w:ascii="Times New Roman" w:hAnsi="Times New Roman"/>
          <w:sz w:val="24"/>
          <w:szCs w:val="24"/>
          <w:lang w:val="lv-LV"/>
        </w:rPr>
        <w:t>Ozempic</w:t>
      </w:r>
      <w:proofErr w:type="spellEnd"/>
      <w:r w:rsidRPr="00120FD1">
        <w:rPr>
          <w:rFonts w:ascii="Times New Roman" w:hAnsi="Times New Roman"/>
          <w:sz w:val="24"/>
          <w:szCs w:val="24"/>
          <w:lang w:val="lv-LV"/>
        </w:rPr>
        <w:t xml:space="preserve"> ar valsts kompensāciju, vai nav informācijas par valsts apmaksātām endokrinologa un/vai kardiologa konsultācijām</w:t>
      </w:r>
      <w:r w:rsidRPr="00A02FCB">
        <w:rPr>
          <w:rFonts w:ascii="Times New Roman" w:hAnsi="Times New Roman"/>
          <w:sz w:val="24"/>
          <w:szCs w:val="24"/>
          <w:lang w:val="lv-LV"/>
        </w:rPr>
        <w:t>, pieprasot un saņemot iestāžu skaidrojumus. Ar mērķi novērst iespējamos pārkāpumus Zāļu izrakstīšanā un kompensēšanā no valsts budžeta līdzekļiem, Dienests informē ārstniecības iestādes un aptiekas par konstatētajām sistēmiskām kļūdām un citiem riskiem.</w:t>
      </w:r>
    </w:p>
    <w:p w14:paraId="0672B0E6" w14:textId="67473F10" w:rsidR="004730E3" w:rsidRPr="00A02FCB"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Dienests turpinās veikt Zāļu uzraudzību un pārbaudes, ņemot vērā iepriekš konstatētos riskus Zāļu izrakstīšanā un kompensēšanā no valsts budžeta līdzekļiem, t.sk.</w:t>
      </w:r>
      <w:r w:rsidR="0082626E">
        <w:rPr>
          <w:rFonts w:ascii="Times New Roman" w:hAnsi="Times New Roman"/>
          <w:sz w:val="24"/>
          <w:szCs w:val="24"/>
          <w:lang w:val="lv-LV"/>
        </w:rPr>
        <w:t>,</w:t>
      </w:r>
      <w:r w:rsidRPr="00A02FCB">
        <w:rPr>
          <w:rFonts w:ascii="Times New Roman" w:hAnsi="Times New Roman"/>
          <w:sz w:val="24"/>
          <w:szCs w:val="24"/>
          <w:lang w:val="lv-LV"/>
        </w:rPr>
        <w:t xml:space="preserve"> vērtējot informāciju no Cukura diabēta pacientu reģistra.</w:t>
      </w:r>
    </w:p>
    <w:p w14:paraId="78F91303"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p>
    <w:p w14:paraId="065B416B" w14:textId="77777777" w:rsidR="004730E3" w:rsidRPr="00120FD1" w:rsidRDefault="004730E3" w:rsidP="004730E3">
      <w:pPr>
        <w:pStyle w:val="Header"/>
        <w:numPr>
          <w:ilvl w:val="0"/>
          <w:numId w:val="2"/>
        </w:numPr>
        <w:tabs>
          <w:tab w:val="left" w:pos="720"/>
        </w:tabs>
        <w:jc w:val="both"/>
        <w:rPr>
          <w:rFonts w:ascii="Times New Roman" w:hAnsi="Times New Roman"/>
          <w:b/>
          <w:bCs/>
          <w:sz w:val="24"/>
          <w:szCs w:val="24"/>
          <w:lang w:val="lv-LV"/>
        </w:rPr>
      </w:pPr>
      <w:r w:rsidRPr="00120FD1">
        <w:rPr>
          <w:rFonts w:ascii="Times New Roman" w:hAnsi="Times New Roman"/>
          <w:b/>
          <w:bCs/>
          <w:sz w:val="24"/>
          <w:szCs w:val="24"/>
          <w:lang w:val="lv-LV"/>
        </w:rPr>
        <w:t>Normatīvo aktu regulējums</w:t>
      </w:r>
    </w:p>
    <w:p w14:paraId="75E96BED"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 xml:space="preserve">Dienests atgādina vispārīgo normatīvo aktu regulējumu, ka atbilstoši Noteikumu Nr. 899 </w:t>
      </w:r>
      <w:r w:rsidRPr="00A02FCB">
        <w:rPr>
          <w:rFonts w:ascii="Times New Roman" w:hAnsi="Times New Roman"/>
          <w:sz w:val="24"/>
          <w:szCs w:val="24"/>
          <w:lang w:val="lv-LV"/>
        </w:rPr>
        <w:lastRenderedPageBreak/>
        <w:t xml:space="preserve">55.3. apakšpunktam, ja zāļu lietošanai ir nepieciešama īpaša speciālista uzraudzība, to nozīmēšana ir attiecīgās ārstniecības nozares speciālista kompetencē (speciālists nosaka ārstēšanu, bet turpmāk Zāles izrakstīt un uzraudzīt to lietošanu var ģimenes ārsts). Ģimenes ārsts zāles var izrakstīt atbilstoši speciālista noteiktajai ārstēšanai, t.sk., ievērojot kompensējamo zāļu izrakstīšanas nosacījumus un ierobežojumus. </w:t>
      </w:r>
    </w:p>
    <w:p w14:paraId="16DE5CEF"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No 01.05.2026. Zāļu izrakstīšana ir arī ģimenes ārsta kompetencē, līdz ar to Dienests atgādina par kompensējamo zāļu izrakstīšanas nosacījumu ievērošanu, t.sk.</w:t>
      </w:r>
    </w:p>
    <w:p w14:paraId="6B9FFDC9"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 xml:space="preserve">1) zāles var izrakstīt </w:t>
      </w:r>
      <w:r w:rsidRPr="00120FD1">
        <w:rPr>
          <w:rFonts w:ascii="Times New Roman" w:hAnsi="Times New Roman"/>
          <w:b/>
          <w:bCs/>
          <w:sz w:val="24"/>
          <w:szCs w:val="24"/>
          <w:u w:val="single"/>
          <w:lang w:val="lv-LV"/>
        </w:rPr>
        <w:t>tikai pacientiem ar noteiktām diagnozēm</w:t>
      </w:r>
      <w:r w:rsidRPr="00A02FCB">
        <w:rPr>
          <w:rFonts w:ascii="Times New Roman" w:hAnsi="Times New Roman"/>
          <w:sz w:val="24"/>
          <w:szCs w:val="24"/>
          <w:lang w:val="lv-LV"/>
        </w:rPr>
        <w:t xml:space="preserve"> - E11.0-E11.9, E13.0-E13.9. Atbilstošajai diagnozei ir jābūt pamatotai medicīniskajā dokumentācijā. Dienests vērš uzmanību, ka ārsts var rekomendēt terapiju ar Zālēm par maksu vai noteikt citu terapiju, ja pacienta diagnoze un izvērtētais veselības stāvoklis neatbilst kompensējamo zāļu izrakstīšanas nosacījumiem, t.sk., ja saņemtas ārstu speciālistu rekomendācijas, bet pacients neatbilst kompensējamo Zāļu izrakstīšanas nosacījumos noteiktajam;</w:t>
      </w:r>
    </w:p>
    <w:p w14:paraId="73D7F45D"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 xml:space="preserve">Piemēram, pacientam ir diagnoze E11.9, ķermeņa masas indekss ir 33, bet atbilstoši nosacījumiem iepriekš vēl nav lietota terapija </w:t>
      </w:r>
      <w:r w:rsidRPr="00A02FCB">
        <w:rPr>
          <w:rFonts w:ascii="Times New Roman" w:hAnsi="Times New Roman"/>
          <w:i/>
          <w:iCs/>
          <w:sz w:val="24"/>
          <w:szCs w:val="24"/>
          <w:lang w:val="lv-LV"/>
        </w:rPr>
        <w:t xml:space="preserve">ar </w:t>
      </w:r>
      <w:proofErr w:type="spellStart"/>
      <w:r w:rsidRPr="00A02FCB">
        <w:rPr>
          <w:rFonts w:ascii="Times New Roman" w:hAnsi="Times New Roman"/>
          <w:i/>
          <w:iCs/>
          <w:sz w:val="24"/>
          <w:szCs w:val="24"/>
          <w:lang w:val="lv-LV"/>
        </w:rPr>
        <w:t>Metforminum</w:t>
      </w:r>
      <w:proofErr w:type="spellEnd"/>
      <w:r w:rsidRPr="00A02FCB">
        <w:rPr>
          <w:rFonts w:ascii="Times New Roman" w:hAnsi="Times New Roman"/>
          <w:i/>
          <w:iCs/>
          <w:sz w:val="24"/>
          <w:szCs w:val="24"/>
          <w:lang w:val="lv-LV"/>
        </w:rPr>
        <w:t xml:space="preserve"> </w:t>
      </w:r>
      <w:r w:rsidRPr="00A02FCB">
        <w:rPr>
          <w:rFonts w:ascii="Times New Roman" w:hAnsi="Times New Roman"/>
          <w:sz w:val="24"/>
          <w:szCs w:val="24"/>
          <w:lang w:val="lv-LV"/>
        </w:rPr>
        <w:t xml:space="preserve">un </w:t>
      </w:r>
      <w:r w:rsidRPr="00A02FCB">
        <w:rPr>
          <w:rFonts w:ascii="Times New Roman" w:hAnsi="Times New Roman"/>
          <w:i/>
          <w:iCs/>
          <w:sz w:val="24"/>
          <w:szCs w:val="24"/>
          <w:lang w:val="lv-LV"/>
        </w:rPr>
        <w:t xml:space="preserve">trīskāršā terapija, kas satur </w:t>
      </w:r>
      <w:proofErr w:type="spellStart"/>
      <w:r w:rsidRPr="00A02FCB">
        <w:rPr>
          <w:rFonts w:ascii="Times New Roman" w:hAnsi="Times New Roman"/>
          <w:i/>
          <w:iCs/>
          <w:sz w:val="24"/>
          <w:szCs w:val="24"/>
          <w:lang w:val="lv-LV"/>
        </w:rPr>
        <w:t>Metforminum</w:t>
      </w:r>
      <w:proofErr w:type="spellEnd"/>
      <w:r w:rsidRPr="00A02FCB">
        <w:rPr>
          <w:rFonts w:ascii="Times New Roman" w:hAnsi="Times New Roman"/>
          <w:i/>
          <w:iCs/>
          <w:sz w:val="24"/>
          <w:szCs w:val="24"/>
          <w:lang w:val="lv-LV"/>
        </w:rPr>
        <w:t xml:space="preserve">, DPP4 inhibitorus, </w:t>
      </w:r>
      <w:proofErr w:type="spellStart"/>
      <w:r w:rsidRPr="00A02FCB">
        <w:rPr>
          <w:rFonts w:ascii="Times New Roman" w:hAnsi="Times New Roman"/>
          <w:i/>
          <w:iCs/>
          <w:sz w:val="24"/>
          <w:szCs w:val="24"/>
          <w:lang w:val="lv-LV"/>
        </w:rPr>
        <w:t>Pioglitazonum</w:t>
      </w:r>
      <w:proofErr w:type="spellEnd"/>
      <w:r w:rsidRPr="00A02FCB">
        <w:rPr>
          <w:rFonts w:ascii="Times New Roman" w:hAnsi="Times New Roman"/>
          <w:i/>
          <w:iCs/>
          <w:sz w:val="24"/>
          <w:szCs w:val="24"/>
          <w:lang w:val="lv-LV"/>
        </w:rPr>
        <w:t xml:space="preserve">, SGLT2 inhibitorus, nav devusi pietiekamu </w:t>
      </w:r>
      <w:proofErr w:type="spellStart"/>
      <w:r w:rsidRPr="00A02FCB">
        <w:rPr>
          <w:rFonts w:ascii="Times New Roman" w:hAnsi="Times New Roman"/>
          <w:i/>
          <w:iCs/>
          <w:sz w:val="24"/>
          <w:szCs w:val="24"/>
          <w:lang w:val="lv-LV"/>
        </w:rPr>
        <w:t>glikēmijas</w:t>
      </w:r>
      <w:proofErr w:type="spellEnd"/>
      <w:r w:rsidRPr="00A02FCB">
        <w:rPr>
          <w:rFonts w:ascii="Times New Roman" w:hAnsi="Times New Roman"/>
          <w:i/>
          <w:iCs/>
          <w:sz w:val="24"/>
          <w:szCs w:val="24"/>
          <w:lang w:val="lv-LV"/>
        </w:rPr>
        <w:t xml:space="preserve"> kontroli (HbA1c&lt;7%)</w:t>
      </w:r>
      <w:r w:rsidRPr="00A02FCB">
        <w:rPr>
          <w:rFonts w:ascii="Times New Roman" w:hAnsi="Times New Roman"/>
          <w:sz w:val="24"/>
          <w:szCs w:val="24"/>
          <w:lang w:val="lv-LV"/>
        </w:rPr>
        <w:t xml:space="preserve"> vai nav konstatēti citi nosacījumiem atbilstošie kritēriji. Fakts, ka iepriekšējais ģimenes ārsts vai speciālists pacientam iepriekš ir izrakstījis kompensējamās Zāles, nav pamatojums, bez pacienta veselības stāvokļa </w:t>
      </w:r>
      <w:proofErr w:type="spellStart"/>
      <w:r w:rsidRPr="00A02FCB">
        <w:rPr>
          <w:rFonts w:ascii="Times New Roman" w:hAnsi="Times New Roman"/>
          <w:sz w:val="24"/>
          <w:szCs w:val="24"/>
          <w:lang w:val="lv-LV"/>
        </w:rPr>
        <w:t>izvērtējuma</w:t>
      </w:r>
      <w:proofErr w:type="spellEnd"/>
      <w:r w:rsidRPr="00A02FCB">
        <w:rPr>
          <w:rFonts w:ascii="Times New Roman" w:hAnsi="Times New Roman"/>
          <w:sz w:val="24"/>
          <w:szCs w:val="24"/>
          <w:lang w:val="lv-LV"/>
        </w:rPr>
        <w:t xml:space="preserve"> turpmākai kompensējamo zāļu izrakstīšanai ar valsts kompensāciju pretēji nosacījumiem.</w:t>
      </w:r>
    </w:p>
    <w:p w14:paraId="3EC686CD" w14:textId="4F5D94D2" w:rsidR="004730E3" w:rsidRPr="00A02FCB"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 xml:space="preserve">2) saskaņā ar </w:t>
      </w:r>
      <w:r w:rsidRPr="5FE583D9">
        <w:rPr>
          <w:rFonts w:ascii="Times New Roman" w:hAnsi="Times New Roman"/>
          <w:sz w:val="24"/>
          <w:szCs w:val="24"/>
          <w:lang w:val="lv-LV"/>
        </w:rPr>
        <w:t>atbilstošajā periodā spēkā esošu Noteikumu Nr. 175</w:t>
      </w:r>
      <w:r w:rsidR="00654EBD">
        <w:rPr>
          <w:rStyle w:val="FootnoteReference"/>
          <w:rFonts w:ascii="Times New Roman" w:hAnsi="Times New Roman"/>
          <w:sz w:val="24"/>
          <w:szCs w:val="24"/>
          <w:lang w:val="lv-LV"/>
        </w:rPr>
        <w:footnoteReference w:id="5"/>
      </w:r>
      <w:r w:rsidRPr="5FE583D9">
        <w:rPr>
          <w:rFonts w:ascii="Times New Roman" w:hAnsi="Times New Roman"/>
          <w:sz w:val="24"/>
          <w:szCs w:val="24"/>
          <w:lang w:val="lv-LV"/>
        </w:rPr>
        <w:t xml:space="preserve"> 33.</w:t>
      </w:r>
      <w:r w:rsidRPr="5FE583D9">
        <w:rPr>
          <w:rFonts w:ascii="Times New Roman" w:hAnsi="Times New Roman"/>
          <w:sz w:val="24"/>
          <w:szCs w:val="24"/>
          <w:vertAlign w:val="superscript"/>
          <w:lang w:val="lv-LV"/>
        </w:rPr>
        <w:t xml:space="preserve">1 </w:t>
      </w:r>
      <w:r w:rsidRPr="5FE583D9">
        <w:rPr>
          <w:rFonts w:ascii="Times New Roman" w:hAnsi="Times New Roman"/>
          <w:sz w:val="24"/>
          <w:szCs w:val="24"/>
          <w:lang w:val="lv-LV"/>
        </w:rPr>
        <w:t>2. apakšpunktu, bet pēc 02.09.2026. Noteikumu Nr. 512</w:t>
      </w:r>
      <w:r w:rsidR="003F1878">
        <w:rPr>
          <w:rStyle w:val="FootnoteReference"/>
          <w:rFonts w:ascii="Times New Roman" w:hAnsi="Times New Roman"/>
          <w:sz w:val="24"/>
          <w:szCs w:val="24"/>
          <w:lang w:val="lv-LV"/>
        </w:rPr>
        <w:footnoteReference w:id="6"/>
      </w:r>
      <w:r w:rsidRPr="5FE583D9">
        <w:rPr>
          <w:rFonts w:ascii="Times New Roman" w:hAnsi="Times New Roman"/>
          <w:sz w:val="24"/>
          <w:szCs w:val="24"/>
          <w:lang w:val="lv-LV"/>
        </w:rPr>
        <w:t xml:space="preserve"> 35.2. apakšpunktu,  ārstam ir pienākums </w:t>
      </w:r>
      <w:r w:rsidRPr="5FE583D9">
        <w:rPr>
          <w:rFonts w:ascii="Times New Roman" w:hAnsi="Times New Roman"/>
          <w:b/>
          <w:bCs/>
          <w:sz w:val="24"/>
          <w:szCs w:val="24"/>
          <w:u w:val="single"/>
          <w:lang w:val="lv-LV"/>
        </w:rPr>
        <w:t>pārliecināties par kompensējamo zāļu nepieciešamību un terapijas pamatotību</w:t>
      </w:r>
      <w:r w:rsidRPr="5FE583D9">
        <w:rPr>
          <w:rFonts w:ascii="Times New Roman" w:hAnsi="Times New Roman"/>
          <w:sz w:val="24"/>
          <w:szCs w:val="24"/>
          <w:lang w:val="lv-LV"/>
        </w:rPr>
        <w:t xml:space="preserve">, t.sk. jāseko izrakstītajam un atbilstoši noteiktajai ārstēšanai paredzētajam izlietojuma apjomam, arī pirms nākošās receptes izrakstīšanas; </w:t>
      </w:r>
    </w:p>
    <w:p w14:paraId="612E396B"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 xml:space="preserve">Piemēram, pacienta veselības stāvokli uzrauga arī endokrinologs, kurš izraksta pacientam zāles </w:t>
      </w:r>
      <w:proofErr w:type="spellStart"/>
      <w:r w:rsidRPr="00A02FCB">
        <w:rPr>
          <w:rFonts w:ascii="Times New Roman" w:hAnsi="Times New Roman"/>
          <w:sz w:val="24"/>
          <w:szCs w:val="24"/>
          <w:lang w:val="lv-LV"/>
        </w:rPr>
        <w:t>Ozempic</w:t>
      </w:r>
      <w:proofErr w:type="spellEnd"/>
      <w:r w:rsidRPr="00A02FCB">
        <w:rPr>
          <w:rFonts w:ascii="Times New Roman" w:hAnsi="Times New Roman"/>
          <w:sz w:val="24"/>
          <w:szCs w:val="24"/>
          <w:lang w:val="lv-LV"/>
        </w:rPr>
        <w:t>, bet ģimenes ārsts, nepārliecinoties par pacientam jau iepriekš izrakstīto Zāļu apjomu vai arī neatbilstošajā stiprumā, turpina izrakstīt kompensējamās zāles, kas vienam pacientam ir lielos apjomos, veidojot nesamērīgus uzkrājumus, t.sk. neievērojot, ka zālēm ir derīguma termiņi u.c. no tā izrietošās sekas;</w:t>
      </w:r>
    </w:p>
    <w:p w14:paraId="455D9AA2" w14:textId="666A5B1E" w:rsidR="004730E3" w:rsidRPr="00A02FCB" w:rsidRDefault="004730E3" w:rsidP="004730E3">
      <w:pPr>
        <w:pStyle w:val="Header"/>
        <w:tabs>
          <w:tab w:val="left" w:pos="720"/>
        </w:tabs>
        <w:ind w:firstLine="720"/>
        <w:jc w:val="both"/>
        <w:rPr>
          <w:rFonts w:ascii="Times New Roman" w:hAnsi="Times New Roman"/>
          <w:b/>
          <w:bCs/>
          <w:sz w:val="24"/>
          <w:szCs w:val="24"/>
          <w:lang w:val="lv-LV"/>
        </w:rPr>
      </w:pPr>
      <w:r w:rsidRPr="1EFE423C">
        <w:rPr>
          <w:rFonts w:ascii="Times New Roman" w:hAnsi="Times New Roman"/>
          <w:sz w:val="24"/>
          <w:szCs w:val="24"/>
          <w:lang w:val="lv-LV"/>
        </w:rPr>
        <w:t xml:space="preserve">3) </w:t>
      </w:r>
      <w:r w:rsidRPr="1EFE423C">
        <w:rPr>
          <w:rFonts w:ascii="Times New Roman" w:hAnsi="Times New Roman"/>
          <w:b/>
          <w:bCs/>
          <w:sz w:val="24"/>
          <w:szCs w:val="24"/>
          <w:lang w:val="lv-LV"/>
        </w:rPr>
        <w:t xml:space="preserve">izrakstot zāles, jāievēro Noteikumu Nr.512 3. pielikuma “Recepšu aizpildīšanas prasības” I sadaļas 3. punkts, kas nosaka, ka ir jānorāda zāļu formu, nosaukumu ar lielo burtu latīņu valodā ģenitīvā, </w:t>
      </w:r>
      <w:r w:rsidRPr="002B29B3">
        <w:rPr>
          <w:rFonts w:ascii="Times New Roman" w:hAnsi="Times New Roman"/>
          <w:b/>
          <w:bCs/>
          <w:sz w:val="24"/>
          <w:szCs w:val="24"/>
          <w:lang w:val="lv-LV"/>
        </w:rPr>
        <w:t>norādot zāļu formas devu un devu skaitu</w:t>
      </w:r>
      <w:r w:rsidRPr="1EFE423C">
        <w:rPr>
          <w:rFonts w:ascii="Times New Roman" w:hAnsi="Times New Roman"/>
          <w:b/>
          <w:bCs/>
          <w:sz w:val="24"/>
          <w:szCs w:val="24"/>
          <w:lang w:val="lv-LV"/>
        </w:rPr>
        <w:t xml:space="preserve">. Savukārt, izsniedzot zāles, aptiekā </w:t>
      </w:r>
      <w:r w:rsidRPr="002B29B3">
        <w:rPr>
          <w:rFonts w:ascii="Times New Roman" w:hAnsi="Times New Roman"/>
          <w:b/>
          <w:bCs/>
          <w:sz w:val="24"/>
          <w:szCs w:val="24"/>
          <w:lang w:val="lv-LV"/>
        </w:rPr>
        <w:t>papildus norāda daudzumu (iepakojumu skaitu),</w:t>
      </w:r>
      <w:r w:rsidRPr="1EFE423C">
        <w:rPr>
          <w:rFonts w:ascii="Times New Roman" w:hAnsi="Times New Roman"/>
          <w:b/>
          <w:bCs/>
          <w:sz w:val="24"/>
          <w:szCs w:val="24"/>
          <w:lang w:val="lv-LV"/>
        </w:rPr>
        <w:t xml:space="preserve"> ko reglamentē Noteikumu Nr. 512 III sadaļas </w:t>
      </w:r>
      <w:r w:rsidR="004249D4">
        <w:rPr>
          <w:rFonts w:ascii="Times New Roman" w:hAnsi="Times New Roman"/>
          <w:b/>
          <w:bCs/>
          <w:sz w:val="24"/>
          <w:szCs w:val="24"/>
          <w:lang w:val="lv-LV"/>
        </w:rPr>
        <w:t>“</w:t>
      </w:r>
      <w:r w:rsidRPr="1EFE423C">
        <w:rPr>
          <w:rFonts w:ascii="Times New Roman" w:hAnsi="Times New Roman"/>
          <w:b/>
          <w:bCs/>
          <w:sz w:val="24"/>
          <w:szCs w:val="24"/>
          <w:lang w:val="lv-LV"/>
        </w:rPr>
        <w:t>Īpašo recepšu aizpildīšanas prasības</w:t>
      </w:r>
      <w:r w:rsidR="004249D4">
        <w:rPr>
          <w:rFonts w:ascii="Times New Roman" w:hAnsi="Times New Roman"/>
          <w:b/>
          <w:bCs/>
          <w:sz w:val="24"/>
          <w:szCs w:val="24"/>
          <w:lang w:val="lv-LV"/>
        </w:rPr>
        <w:t>”</w:t>
      </w:r>
      <w:r w:rsidRPr="1EFE423C">
        <w:rPr>
          <w:rFonts w:ascii="Times New Roman" w:hAnsi="Times New Roman"/>
          <w:b/>
          <w:bCs/>
          <w:sz w:val="24"/>
          <w:szCs w:val="24"/>
          <w:lang w:val="lv-LV"/>
        </w:rPr>
        <w:t xml:space="preserve"> 20. punkts;</w:t>
      </w:r>
    </w:p>
    <w:p w14:paraId="33020DBF" w14:textId="77777777" w:rsidR="004730E3" w:rsidRPr="00A02FCB" w:rsidRDefault="004730E3" w:rsidP="004730E3">
      <w:pPr>
        <w:spacing w:after="0" w:line="240" w:lineRule="auto"/>
        <w:ind w:firstLine="720"/>
        <w:jc w:val="both"/>
        <w:rPr>
          <w:rFonts w:ascii="Times New Roman" w:hAnsi="Times New Roman"/>
          <w:sz w:val="24"/>
          <w:szCs w:val="24"/>
          <w:lang w:val="lv-LV"/>
        </w:rPr>
      </w:pPr>
      <w:r w:rsidRPr="00A02FCB">
        <w:rPr>
          <w:rFonts w:ascii="Times New Roman" w:hAnsi="Times New Roman"/>
          <w:sz w:val="24"/>
          <w:szCs w:val="24"/>
          <w:lang w:val="lv-LV"/>
        </w:rPr>
        <w:t xml:space="preserve">Piemēram, izrakstot </w:t>
      </w:r>
      <w:proofErr w:type="spellStart"/>
      <w:r w:rsidRPr="00A02FCB">
        <w:rPr>
          <w:rFonts w:ascii="Times New Roman" w:hAnsi="Times New Roman"/>
          <w:sz w:val="24"/>
          <w:szCs w:val="24"/>
          <w:lang w:val="lv-LV"/>
        </w:rPr>
        <w:t>Ozempic</w:t>
      </w:r>
      <w:proofErr w:type="spellEnd"/>
      <w:r w:rsidRPr="00A02FCB">
        <w:rPr>
          <w:rFonts w:ascii="Times New Roman" w:hAnsi="Times New Roman"/>
          <w:sz w:val="24"/>
          <w:szCs w:val="24"/>
          <w:lang w:val="lv-LV"/>
        </w:rPr>
        <w:t xml:space="preserve"> 1 mg šķīdums injekcijām</w:t>
      </w:r>
      <w:r w:rsidRPr="00A02FCB">
        <w:rPr>
          <w:rFonts w:ascii="Times New Roman" w:hAnsi="Times New Roman"/>
          <w:color w:val="000000"/>
          <w:sz w:val="24"/>
          <w:szCs w:val="24"/>
          <w:lang w:val="lv-LV" w:eastAsia="lv-LV"/>
        </w:rPr>
        <w:t xml:space="preserve">, atbilstoši Zāļu aprakstam </w:t>
      </w:r>
      <w:proofErr w:type="spellStart"/>
      <w:r w:rsidRPr="00A02FCB">
        <w:rPr>
          <w:rFonts w:ascii="Times New Roman" w:hAnsi="Times New Roman"/>
          <w:color w:val="000000"/>
          <w:sz w:val="24"/>
          <w:szCs w:val="24"/>
          <w:lang w:val="lv-LV" w:eastAsia="lv-LV"/>
        </w:rPr>
        <w:t>pildspalvveida</w:t>
      </w:r>
      <w:proofErr w:type="spellEnd"/>
      <w:r w:rsidRPr="00A02FCB">
        <w:rPr>
          <w:rFonts w:ascii="Times New Roman" w:hAnsi="Times New Roman"/>
          <w:color w:val="000000"/>
          <w:sz w:val="24"/>
          <w:szCs w:val="24"/>
          <w:lang w:val="lv-LV" w:eastAsia="lv-LV"/>
        </w:rPr>
        <w:t xml:space="preserve"> </w:t>
      </w:r>
      <w:proofErr w:type="spellStart"/>
      <w:r w:rsidRPr="00A02FCB">
        <w:rPr>
          <w:rFonts w:ascii="Times New Roman" w:hAnsi="Times New Roman"/>
          <w:color w:val="000000"/>
          <w:sz w:val="24"/>
          <w:szCs w:val="24"/>
          <w:lang w:val="lv-LV" w:eastAsia="lv-LV"/>
        </w:rPr>
        <w:t>pilnšļirce</w:t>
      </w:r>
      <w:proofErr w:type="spellEnd"/>
      <w:r w:rsidRPr="00A02FCB">
        <w:rPr>
          <w:rFonts w:ascii="Times New Roman" w:hAnsi="Times New Roman"/>
          <w:color w:val="000000"/>
          <w:sz w:val="24"/>
          <w:szCs w:val="24"/>
          <w:lang w:val="lv-LV" w:eastAsia="lv-LV"/>
        </w:rPr>
        <w:t xml:space="preserve"> satur 3 ml šķīduma, ar to var ievadīt 4 devas pa 1 mg (</w:t>
      </w:r>
      <w:r w:rsidRPr="00A02FCB">
        <w:rPr>
          <w:rFonts w:ascii="Times New Roman" w:hAnsi="Times New Roman"/>
          <w:sz w:val="24"/>
          <w:szCs w:val="24"/>
          <w:lang w:val="lv-LV"/>
        </w:rPr>
        <w:t xml:space="preserve">katra deva (0,74 ml šķīduma) satur 1 mg </w:t>
      </w:r>
      <w:proofErr w:type="spellStart"/>
      <w:r w:rsidRPr="00A02FCB">
        <w:rPr>
          <w:rFonts w:ascii="Times New Roman" w:hAnsi="Times New Roman"/>
          <w:sz w:val="24"/>
          <w:szCs w:val="24"/>
          <w:lang w:val="lv-LV"/>
        </w:rPr>
        <w:t>semaglutīda</w:t>
      </w:r>
      <w:proofErr w:type="spellEnd"/>
      <w:r w:rsidRPr="00A02FCB">
        <w:rPr>
          <w:rFonts w:ascii="Times New Roman" w:hAnsi="Times New Roman"/>
          <w:sz w:val="24"/>
          <w:szCs w:val="24"/>
          <w:lang w:val="lv-LV"/>
        </w:rPr>
        <w:t>)</w:t>
      </w:r>
      <w:r w:rsidRPr="00A02FCB">
        <w:rPr>
          <w:rFonts w:ascii="Times New Roman" w:hAnsi="Times New Roman"/>
          <w:color w:val="000000"/>
          <w:sz w:val="24"/>
          <w:szCs w:val="24"/>
          <w:lang w:val="lv-LV" w:eastAsia="lv-LV"/>
        </w:rPr>
        <w:t xml:space="preserve">. Atbilstoši izrakstītajam daudzumam (devu skaits), piemēram, 12,  aptieka izsniedz 3 </w:t>
      </w:r>
      <w:proofErr w:type="spellStart"/>
      <w:r w:rsidRPr="00A02FCB">
        <w:rPr>
          <w:rFonts w:ascii="Times New Roman" w:hAnsi="Times New Roman"/>
          <w:color w:val="000000"/>
          <w:sz w:val="24"/>
          <w:szCs w:val="24"/>
          <w:lang w:val="lv-LV" w:eastAsia="lv-LV"/>
        </w:rPr>
        <w:t>pildspalvveida</w:t>
      </w:r>
      <w:proofErr w:type="spellEnd"/>
      <w:r w:rsidRPr="00A02FCB">
        <w:rPr>
          <w:rFonts w:ascii="Times New Roman" w:hAnsi="Times New Roman"/>
          <w:color w:val="000000"/>
          <w:sz w:val="24"/>
          <w:szCs w:val="24"/>
          <w:lang w:val="lv-LV" w:eastAsia="lv-LV"/>
        </w:rPr>
        <w:t xml:space="preserve"> </w:t>
      </w:r>
      <w:proofErr w:type="spellStart"/>
      <w:r w:rsidRPr="00A02FCB">
        <w:rPr>
          <w:rFonts w:ascii="Times New Roman" w:hAnsi="Times New Roman"/>
          <w:color w:val="000000"/>
          <w:sz w:val="24"/>
          <w:szCs w:val="24"/>
          <w:lang w:val="lv-LV" w:eastAsia="lv-LV"/>
        </w:rPr>
        <w:t>pilnšļirces</w:t>
      </w:r>
      <w:proofErr w:type="spellEnd"/>
      <w:r w:rsidRPr="00A02FCB">
        <w:rPr>
          <w:rFonts w:ascii="Times New Roman" w:hAnsi="Times New Roman"/>
          <w:color w:val="000000"/>
          <w:sz w:val="24"/>
          <w:szCs w:val="24"/>
          <w:lang w:val="lv-LV" w:eastAsia="lv-LV"/>
        </w:rPr>
        <w:t xml:space="preserve"> (katrā 4 devas) kopā 12 devas pa 1 mg, 3 mēnešu kursam.</w:t>
      </w:r>
    </w:p>
    <w:p w14:paraId="70D62A81" w14:textId="77777777" w:rsidR="004730E3"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T.sk. jāvērtē Zāļu aprakstā norādītie zāļu stiprumi, ņemot vērā ambulatorajai ārstēšanai paredzēto zāļu ievadīšanas praktisko iespēju, kas, piemēram, ir neatbilstoši  1,5 mg/ml, 1,7 mg, 2,3 mg stiprumā, un citi gadījumi, kas neatbilst Zāļu aprakstā norādītajam.</w:t>
      </w:r>
    </w:p>
    <w:p w14:paraId="63299A10" w14:textId="447B3B5E" w:rsidR="004730E3" w:rsidRPr="00A02FCB" w:rsidRDefault="004730E3" w:rsidP="004730E3">
      <w:pPr>
        <w:pStyle w:val="Header"/>
        <w:tabs>
          <w:tab w:val="left" w:pos="720"/>
        </w:tabs>
        <w:ind w:firstLine="720"/>
        <w:jc w:val="both"/>
        <w:rPr>
          <w:rFonts w:ascii="Times New Roman" w:hAnsi="Times New Roman"/>
          <w:sz w:val="24"/>
          <w:szCs w:val="24"/>
          <w:lang w:val="lv-LV"/>
        </w:rPr>
      </w:pPr>
      <w:r w:rsidRPr="1EFE423C">
        <w:rPr>
          <w:rFonts w:ascii="Times New Roman" w:hAnsi="Times New Roman"/>
          <w:sz w:val="24"/>
          <w:szCs w:val="24"/>
          <w:lang w:val="lv-LV"/>
        </w:rPr>
        <w:t>Ja recepšu izrakstīšanai izmanto integrator sistēmas, tad ar integratoriem jāvienojas par lokālajā informācijas sistēmā nepieciešamajām izmaiņām, lai informāciju ievadīt</w:t>
      </w:r>
      <w:r w:rsidR="002B29B3">
        <w:rPr>
          <w:rFonts w:ascii="Times New Roman" w:hAnsi="Times New Roman"/>
          <w:sz w:val="24"/>
          <w:szCs w:val="24"/>
          <w:lang w:val="lv-LV"/>
        </w:rPr>
        <w:t>u</w:t>
      </w:r>
      <w:r w:rsidRPr="1EFE423C">
        <w:rPr>
          <w:rFonts w:ascii="Times New Roman" w:hAnsi="Times New Roman"/>
          <w:sz w:val="24"/>
          <w:szCs w:val="24"/>
          <w:lang w:val="lv-LV"/>
        </w:rPr>
        <w:t xml:space="preserve"> vismaz tādā apjomā, kā noteikts normatīvā regulējumā.</w:t>
      </w:r>
    </w:p>
    <w:p w14:paraId="4E0833C0" w14:textId="77777777" w:rsidR="004730E3" w:rsidRPr="00A02FCB" w:rsidRDefault="004730E3" w:rsidP="004730E3">
      <w:pPr>
        <w:pStyle w:val="Header"/>
        <w:tabs>
          <w:tab w:val="left" w:pos="720"/>
        </w:tabs>
        <w:ind w:firstLine="720"/>
        <w:jc w:val="both"/>
        <w:rPr>
          <w:rFonts w:ascii="Times New Roman" w:hAnsi="Times New Roman"/>
          <w:color w:val="EE0000"/>
          <w:sz w:val="24"/>
          <w:szCs w:val="24"/>
          <w:lang w:val="lv-LV"/>
        </w:rPr>
      </w:pPr>
      <w:r w:rsidRPr="00A02FCB">
        <w:rPr>
          <w:rFonts w:ascii="Times New Roman" w:hAnsi="Times New Roman"/>
          <w:sz w:val="24"/>
          <w:szCs w:val="24"/>
          <w:lang w:val="lv-LV"/>
        </w:rPr>
        <w:t xml:space="preserve">4) Noteikumu Nr. </w:t>
      </w:r>
      <w:r w:rsidRPr="5FE583D9">
        <w:rPr>
          <w:rFonts w:ascii="Times New Roman" w:hAnsi="Times New Roman"/>
          <w:sz w:val="24"/>
          <w:szCs w:val="24"/>
          <w:lang w:val="lv-LV"/>
        </w:rPr>
        <w:t xml:space="preserve">512 45. punkts nosaka, ka vienā īpašajā receptē ir atļauts izrakstīt tikai </w:t>
      </w:r>
      <w:r w:rsidRPr="5FE583D9">
        <w:rPr>
          <w:rFonts w:ascii="Times New Roman" w:hAnsi="Times New Roman"/>
          <w:sz w:val="24"/>
          <w:szCs w:val="24"/>
          <w:lang w:val="lv-LV"/>
        </w:rPr>
        <w:lastRenderedPageBreak/>
        <w:t xml:space="preserve">vienas zāles vai medicīnisko ierīci, sekundāro iepakojumu skaitu paredzot ne vairāk kā trīs mēnešus ilgam ārstēšanas kursam. </w:t>
      </w:r>
    </w:p>
    <w:p w14:paraId="2BB621B8"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p>
    <w:p w14:paraId="053868F0" w14:textId="77777777" w:rsidR="004730E3" w:rsidRPr="00120FD1" w:rsidRDefault="004730E3" w:rsidP="004730E3">
      <w:pPr>
        <w:pStyle w:val="Header"/>
        <w:numPr>
          <w:ilvl w:val="0"/>
          <w:numId w:val="2"/>
        </w:numPr>
        <w:tabs>
          <w:tab w:val="left" w:pos="720"/>
        </w:tabs>
        <w:jc w:val="both"/>
        <w:rPr>
          <w:rFonts w:ascii="Times New Roman" w:hAnsi="Times New Roman"/>
          <w:b/>
          <w:bCs/>
          <w:sz w:val="24"/>
          <w:szCs w:val="24"/>
          <w:lang w:val="lv-LV"/>
        </w:rPr>
      </w:pPr>
      <w:r w:rsidRPr="00120FD1">
        <w:rPr>
          <w:rFonts w:ascii="Times New Roman" w:hAnsi="Times New Roman"/>
          <w:b/>
          <w:bCs/>
          <w:sz w:val="24"/>
          <w:szCs w:val="24"/>
          <w:lang w:val="lv-LV"/>
        </w:rPr>
        <w:t>Turpmākās Dienesta darbības</w:t>
      </w:r>
    </w:p>
    <w:p w14:paraId="601E718A" w14:textId="1210BDF8" w:rsidR="004730E3" w:rsidRDefault="004730E3" w:rsidP="004730E3">
      <w:pPr>
        <w:pStyle w:val="Header"/>
        <w:tabs>
          <w:tab w:val="left" w:pos="720"/>
        </w:tabs>
        <w:ind w:firstLine="720"/>
        <w:jc w:val="both"/>
        <w:rPr>
          <w:rFonts w:ascii="Times New Roman" w:hAnsi="Times New Roman"/>
          <w:sz w:val="24"/>
          <w:szCs w:val="24"/>
          <w:lang w:val="lv-LV"/>
        </w:rPr>
      </w:pPr>
      <w:r w:rsidRPr="00A02FCB">
        <w:rPr>
          <w:rFonts w:ascii="Times New Roman" w:hAnsi="Times New Roman"/>
          <w:sz w:val="24"/>
          <w:szCs w:val="24"/>
          <w:lang w:val="lv-LV"/>
        </w:rPr>
        <w:t>Līdz ar to Dienests vērš uzmanību, ka ārstniecības iestāde, kura līgumā noteikusi ārstniecības personai tiesības izrakstīt kompensējamās zāles, ir atbildīga par kompensējamo zāļu izrakstīšanu atbilstoši normatīvo aktu prasībām un līguma nosacījumiem, kas nosaka, ka ārstniecības iestāde ir atbildīga par zaudējumu atlīdzināšanu izrakstīto kompensējamo zāļu kompensētās vērtības vai tā daļas apmērā, ja tiek konstatēts, ka izrakstītas kompensējamās zāles personai, kurai nebija tiesību tās saņemt, vai tās izrakstītas, neievērojot normatīvo aktu, tai skaitā Kompensējamo zāļu, Saraksta, vai līguma prasības.</w:t>
      </w:r>
    </w:p>
    <w:p w14:paraId="0AF69760" w14:textId="77777777" w:rsidR="004730E3" w:rsidRDefault="004730E3" w:rsidP="004730E3">
      <w:pPr>
        <w:pStyle w:val="Header"/>
        <w:tabs>
          <w:tab w:val="left" w:pos="720"/>
        </w:tabs>
        <w:ind w:firstLine="720"/>
        <w:jc w:val="both"/>
        <w:rPr>
          <w:rFonts w:ascii="Times New Roman" w:hAnsi="Times New Roman"/>
          <w:sz w:val="24"/>
          <w:szCs w:val="24"/>
          <w:lang w:val="lv-LV"/>
        </w:rPr>
      </w:pPr>
      <w:r>
        <w:rPr>
          <w:rFonts w:ascii="Times New Roman" w:hAnsi="Times New Roman"/>
          <w:sz w:val="24"/>
          <w:szCs w:val="24"/>
          <w:lang w:val="lv-LV"/>
        </w:rPr>
        <w:t>Ņemot vērā Dienesta veikto uzraudzību:</w:t>
      </w:r>
    </w:p>
    <w:p w14:paraId="3119E1FE" w14:textId="0CE05A5B" w:rsidR="004730E3" w:rsidRDefault="004730E3" w:rsidP="004730E3">
      <w:pPr>
        <w:pStyle w:val="Header"/>
        <w:numPr>
          <w:ilvl w:val="0"/>
          <w:numId w:val="3"/>
        </w:numPr>
        <w:tabs>
          <w:tab w:val="left" w:pos="720"/>
        </w:tabs>
        <w:jc w:val="both"/>
        <w:rPr>
          <w:rFonts w:ascii="Times New Roman" w:hAnsi="Times New Roman"/>
          <w:sz w:val="24"/>
          <w:szCs w:val="24"/>
          <w:lang w:val="lv-LV"/>
        </w:rPr>
      </w:pPr>
      <w:r>
        <w:rPr>
          <w:rFonts w:ascii="Times New Roman" w:hAnsi="Times New Roman"/>
          <w:sz w:val="24"/>
          <w:szCs w:val="24"/>
          <w:lang w:val="lv-LV"/>
        </w:rPr>
        <w:t>Precizēs izrakstīšanas nosacījumus, ar 01.10.2026</w:t>
      </w:r>
      <w:r w:rsidR="004249D4">
        <w:rPr>
          <w:rFonts w:ascii="Times New Roman" w:hAnsi="Times New Roman"/>
          <w:sz w:val="24"/>
          <w:szCs w:val="24"/>
          <w:lang w:val="lv-LV"/>
        </w:rPr>
        <w:t>.</w:t>
      </w:r>
      <w:r>
        <w:rPr>
          <w:rFonts w:ascii="Times New Roman" w:hAnsi="Times New Roman"/>
          <w:sz w:val="24"/>
          <w:szCs w:val="24"/>
          <w:lang w:val="lv-LV"/>
        </w:rPr>
        <w:t xml:space="preserve"> nosakot, ka </w:t>
      </w:r>
      <w:r w:rsidRPr="0078234D">
        <w:rPr>
          <w:rFonts w:ascii="Times New Roman" w:hAnsi="Times New Roman"/>
          <w:sz w:val="24"/>
          <w:szCs w:val="24"/>
          <w:lang w:val="lv-LV"/>
        </w:rPr>
        <w:t>no valsts budžeta netiek apmaksāt</w:t>
      </w:r>
      <w:r w:rsidR="004249D4">
        <w:rPr>
          <w:rFonts w:ascii="Times New Roman" w:hAnsi="Times New Roman"/>
          <w:sz w:val="24"/>
          <w:szCs w:val="24"/>
          <w:lang w:val="lv-LV"/>
        </w:rPr>
        <w:t>a</w:t>
      </w:r>
      <w:r w:rsidRPr="0078234D">
        <w:rPr>
          <w:rFonts w:ascii="Times New Roman" w:hAnsi="Times New Roman"/>
          <w:sz w:val="24"/>
          <w:szCs w:val="24"/>
          <w:lang w:val="lv-LV"/>
        </w:rPr>
        <w:t>s</w:t>
      </w:r>
      <w:r w:rsidR="004249D4">
        <w:rPr>
          <w:rFonts w:ascii="Times New Roman" w:hAnsi="Times New Roman"/>
          <w:sz w:val="24"/>
          <w:szCs w:val="24"/>
          <w:lang w:val="lv-LV"/>
        </w:rPr>
        <w:t xml:space="preserve"> Zāles</w:t>
      </w:r>
      <w:r w:rsidRPr="0078234D">
        <w:rPr>
          <w:rFonts w:ascii="Times New Roman" w:hAnsi="Times New Roman"/>
          <w:sz w:val="24"/>
          <w:szCs w:val="24"/>
          <w:lang w:val="lv-LV"/>
        </w:rPr>
        <w:t>, ja tās tiek izrakstītas virs Zāļu aprakstā noteiktajām devām, proti, pārsniedz 2 mg nedēļā</w:t>
      </w:r>
      <w:r>
        <w:rPr>
          <w:rFonts w:ascii="Times New Roman" w:hAnsi="Times New Roman"/>
          <w:sz w:val="24"/>
          <w:szCs w:val="24"/>
          <w:lang w:val="lv-LV"/>
        </w:rPr>
        <w:t>; veiks pārbaudes aptiekās</w:t>
      </w:r>
      <w:r w:rsidR="004249D4">
        <w:rPr>
          <w:rFonts w:ascii="Times New Roman" w:hAnsi="Times New Roman"/>
          <w:sz w:val="24"/>
          <w:szCs w:val="24"/>
          <w:lang w:val="lv-LV"/>
        </w:rPr>
        <w:t>,</w:t>
      </w:r>
      <w:r>
        <w:rPr>
          <w:rFonts w:ascii="Times New Roman" w:hAnsi="Times New Roman"/>
          <w:sz w:val="24"/>
          <w:szCs w:val="24"/>
          <w:lang w:val="lv-LV"/>
        </w:rPr>
        <w:t xml:space="preserve"> pārbaudot, ka no valsts budžeta līdzekļiem </w:t>
      </w:r>
      <w:proofErr w:type="spellStart"/>
      <w:r>
        <w:rPr>
          <w:rFonts w:ascii="Times New Roman" w:hAnsi="Times New Roman"/>
          <w:sz w:val="24"/>
          <w:szCs w:val="24"/>
          <w:lang w:val="lv-LV"/>
        </w:rPr>
        <w:t>atprečo</w:t>
      </w:r>
      <w:proofErr w:type="spellEnd"/>
      <w:r>
        <w:rPr>
          <w:rFonts w:ascii="Times New Roman" w:hAnsi="Times New Roman"/>
          <w:sz w:val="24"/>
          <w:szCs w:val="24"/>
          <w:lang w:val="lv-LV"/>
        </w:rPr>
        <w:t xml:space="preserve"> tikai tādu devu skaitu, kas atbilst izrakstīšanas nosacījumiem;</w:t>
      </w:r>
    </w:p>
    <w:p w14:paraId="48FF95E1" w14:textId="406908E3" w:rsidR="004730E3" w:rsidRDefault="004730E3" w:rsidP="004730E3">
      <w:pPr>
        <w:pStyle w:val="Header"/>
        <w:numPr>
          <w:ilvl w:val="0"/>
          <w:numId w:val="3"/>
        </w:numPr>
        <w:tabs>
          <w:tab w:val="left" w:pos="720"/>
        </w:tabs>
        <w:jc w:val="both"/>
        <w:rPr>
          <w:rFonts w:ascii="Times New Roman" w:hAnsi="Times New Roman"/>
          <w:sz w:val="24"/>
          <w:szCs w:val="24"/>
          <w:lang w:val="lv-LV"/>
        </w:rPr>
      </w:pPr>
      <w:r>
        <w:rPr>
          <w:rFonts w:ascii="Times New Roman" w:hAnsi="Times New Roman"/>
          <w:sz w:val="24"/>
          <w:szCs w:val="24"/>
          <w:lang w:val="lv-LV"/>
        </w:rPr>
        <w:t xml:space="preserve">veiks atkārtotu/sistemātisku uzraudzību, pārbaudot gan valsts kompensēto </w:t>
      </w:r>
      <w:r w:rsidR="004249D4">
        <w:rPr>
          <w:rFonts w:ascii="Times New Roman" w:hAnsi="Times New Roman"/>
          <w:sz w:val="24"/>
          <w:szCs w:val="24"/>
          <w:lang w:val="lv-LV"/>
        </w:rPr>
        <w:t xml:space="preserve">Zāļu </w:t>
      </w:r>
      <w:r>
        <w:rPr>
          <w:rFonts w:ascii="Times New Roman" w:hAnsi="Times New Roman"/>
          <w:sz w:val="24"/>
          <w:szCs w:val="24"/>
          <w:lang w:val="lv-LV"/>
        </w:rPr>
        <w:t>apjomu uz pacientu, informāciju no Cukura diabēta reģistra un informāciju no Vadības informācijas sistēmas un E-veselības par cukura diabēta pacienta aprūpi</w:t>
      </w:r>
      <w:r w:rsidR="004249D4">
        <w:rPr>
          <w:rFonts w:ascii="Times New Roman" w:hAnsi="Times New Roman"/>
          <w:sz w:val="24"/>
          <w:szCs w:val="24"/>
          <w:lang w:val="lv-LV"/>
        </w:rPr>
        <w:t>;</w:t>
      </w:r>
      <w:r>
        <w:rPr>
          <w:rFonts w:ascii="Times New Roman" w:hAnsi="Times New Roman"/>
          <w:sz w:val="24"/>
          <w:szCs w:val="24"/>
          <w:lang w:val="lv-LV"/>
        </w:rPr>
        <w:t xml:space="preserve"> atlasot neatbilstības</w:t>
      </w:r>
      <w:r w:rsidR="004249D4">
        <w:rPr>
          <w:rFonts w:ascii="Times New Roman" w:hAnsi="Times New Roman"/>
          <w:sz w:val="24"/>
          <w:szCs w:val="24"/>
          <w:lang w:val="lv-LV"/>
        </w:rPr>
        <w:t>,</w:t>
      </w:r>
      <w:r>
        <w:rPr>
          <w:rFonts w:ascii="Times New Roman" w:hAnsi="Times New Roman"/>
          <w:sz w:val="24"/>
          <w:szCs w:val="24"/>
          <w:lang w:val="lv-LV"/>
        </w:rPr>
        <w:t xml:space="preserve"> nosūt</w:t>
      </w:r>
      <w:r w:rsidR="004249D4">
        <w:rPr>
          <w:rFonts w:ascii="Times New Roman" w:hAnsi="Times New Roman"/>
          <w:sz w:val="24"/>
          <w:szCs w:val="24"/>
          <w:lang w:val="lv-LV"/>
        </w:rPr>
        <w:t>īs</w:t>
      </w:r>
      <w:r>
        <w:rPr>
          <w:rFonts w:ascii="Times New Roman" w:hAnsi="Times New Roman"/>
          <w:sz w:val="24"/>
          <w:szCs w:val="24"/>
          <w:lang w:val="lv-LV"/>
        </w:rPr>
        <w:t xml:space="preserve"> iestādēm (t.sk. aptiekām) ceturkšņa kļūdu ietvaros;</w:t>
      </w:r>
    </w:p>
    <w:p w14:paraId="1025B2F5" w14:textId="77777777" w:rsidR="004730E3" w:rsidRDefault="004730E3" w:rsidP="004730E3">
      <w:pPr>
        <w:pStyle w:val="Header"/>
        <w:numPr>
          <w:ilvl w:val="0"/>
          <w:numId w:val="3"/>
        </w:numPr>
        <w:tabs>
          <w:tab w:val="left" w:pos="720"/>
        </w:tabs>
        <w:jc w:val="both"/>
        <w:rPr>
          <w:rFonts w:ascii="Times New Roman" w:hAnsi="Times New Roman"/>
          <w:sz w:val="24"/>
          <w:szCs w:val="24"/>
          <w:lang w:val="lv-LV"/>
        </w:rPr>
      </w:pPr>
      <w:r>
        <w:rPr>
          <w:rFonts w:ascii="Times New Roman" w:hAnsi="Times New Roman"/>
          <w:sz w:val="24"/>
          <w:szCs w:val="24"/>
          <w:lang w:val="lv-LV"/>
        </w:rPr>
        <w:t>informēs arī aptiekas par normatīvo aktu ievērošanu, izsniedzot kompensējamās zāles un to daudzumu.</w:t>
      </w:r>
    </w:p>
    <w:p w14:paraId="114F08CB" w14:textId="77777777" w:rsidR="004730E3" w:rsidRPr="00A02FCB" w:rsidRDefault="004730E3" w:rsidP="004730E3">
      <w:pPr>
        <w:pStyle w:val="Header"/>
        <w:tabs>
          <w:tab w:val="left" w:pos="720"/>
        </w:tabs>
        <w:ind w:firstLine="720"/>
        <w:jc w:val="both"/>
        <w:rPr>
          <w:rFonts w:ascii="Times New Roman" w:hAnsi="Times New Roman"/>
          <w:sz w:val="24"/>
          <w:szCs w:val="24"/>
          <w:lang w:val="lv-LV"/>
        </w:rPr>
      </w:pPr>
    </w:p>
    <w:p w14:paraId="20111888" w14:textId="77777777" w:rsidR="004730E3" w:rsidRPr="00A02FCB" w:rsidRDefault="004730E3" w:rsidP="004730E3">
      <w:pPr>
        <w:spacing w:after="0" w:line="240" w:lineRule="auto"/>
        <w:ind w:firstLine="720"/>
        <w:jc w:val="both"/>
        <w:rPr>
          <w:rFonts w:ascii="Times New Roman" w:hAnsi="Times New Roman"/>
          <w:sz w:val="24"/>
          <w:szCs w:val="24"/>
          <w:lang w:val="lv-LV"/>
        </w:rPr>
      </w:pPr>
      <w:r w:rsidRPr="00A02FCB">
        <w:rPr>
          <w:rFonts w:ascii="Times New Roman" w:hAnsi="Times New Roman"/>
          <w:sz w:val="24"/>
          <w:szCs w:val="24"/>
          <w:lang w:val="lv-LV"/>
        </w:rPr>
        <w:br w:type="page"/>
      </w:r>
    </w:p>
    <w:sectPr w:rsidR="004730E3" w:rsidRPr="00A02FCB" w:rsidSect="004730E3">
      <w:headerReference w:type="default" r:id="rId8"/>
      <w:footerReference w:type="default" r:id="rId9"/>
      <w:footerReference w:type="first" r:id="rId10"/>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DD7C" w14:textId="77777777" w:rsidR="00EF0DD2" w:rsidRDefault="00EF0DD2" w:rsidP="004730E3">
      <w:pPr>
        <w:spacing w:after="0" w:line="240" w:lineRule="auto"/>
      </w:pPr>
      <w:r>
        <w:separator/>
      </w:r>
    </w:p>
  </w:endnote>
  <w:endnote w:type="continuationSeparator" w:id="0">
    <w:p w14:paraId="56BE0295" w14:textId="77777777" w:rsidR="00EF0DD2" w:rsidRDefault="00EF0DD2" w:rsidP="00473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8F3B" w14:textId="77777777" w:rsidR="00AA7022" w:rsidRDefault="00F0177B" w:rsidP="007C0743">
    <w:pPr>
      <w:tabs>
        <w:tab w:val="left" w:pos="2295"/>
      </w:tabs>
      <w:spacing w:after="0"/>
      <w:jc w:val="center"/>
      <w:rPr>
        <w:rFonts w:ascii="Times New Roman" w:hAnsi="Times New Roman"/>
        <w:sz w:val="24"/>
        <w:lang w:val="lv-LV"/>
      </w:rPr>
    </w:pPr>
    <w:r>
      <w:rPr>
        <w:rFonts w:ascii="Times New Roman" w:hAnsi="Times New Roman"/>
        <w:sz w:val="24"/>
        <w:lang w:val="lv-LV"/>
      </w:rPr>
      <w:t>Dokuments parakstīts ar drošu elektronisko parakstu un satur laika zīmogu</w:t>
    </w:r>
  </w:p>
  <w:p w14:paraId="74A97F55" w14:textId="77777777" w:rsidR="00AA7022" w:rsidRPr="00445202" w:rsidRDefault="00F0177B" w:rsidP="00445202">
    <w:pPr>
      <w:pStyle w:val="Header"/>
      <w:jc w:val="right"/>
      <w:rPr>
        <w:rFonts w:ascii="Times New Roman" w:hAnsi="Times New Roman"/>
      </w:rPr>
    </w:pPr>
    <w:r w:rsidRPr="00451044">
      <w:rPr>
        <w:rFonts w:ascii="Times New Roman" w:hAnsi="Times New Roman"/>
        <w:noProof/>
      </w:rPr>
      <w:t>Ierobežota pieejamība</w:t>
    </w:r>
    <w:r>
      <w:rPr>
        <w:rFonts w:ascii="Times New Roman" w:hAnsi="Times New Roman"/>
      </w:rPr>
      <w:t xml:space="preserve">                                                                       </w:t>
    </w:r>
    <w:r>
      <w:fldChar w:fldCharType="begin"/>
    </w:r>
    <w:r>
      <w:instrText xml:space="preserve"> PAGE   \* MERGEFORMAT </w:instrText>
    </w:r>
    <w:r>
      <w:fldChar w:fldCharType="separate"/>
    </w:r>
    <w:r>
      <w:t>9</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EB07" w14:textId="77777777" w:rsidR="00AA7022" w:rsidRDefault="00F0177B" w:rsidP="007C0743">
    <w:pPr>
      <w:tabs>
        <w:tab w:val="left" w:pos="2295"/>
      </w:tabs>
      <w:spacing w:after="0"/>
      <w:jc w:val="center"/>
      <w:rPr>
        <w:rFonts w:ascii="Times New Roman" w:hAnsi="Times New Roman"/>
        <w:sz w:val="24"/>
        <w:lang w:val="lv-LV"/>
      </w:rPr>
    </w:pPr>
    <w:r>
      <w:rPr>
        <w:rFonts w:ascii="Times New Roman" w:hAnsi="Times New Roman"/>
        <w:sz w:val="24"/>
        <w:lang w:val="lv-LV"/>
      </w:rPr>
      <w:t>Dokuments parakstīts ar drošu elektronisko parakstu un satur laika zīmogu</w:t>
    </w:r>
  </w:p>
  <w:p w14:paraId="23F5545F" w14:textId="77777777" w:rsidR="00AA7022" w:rsidRPr="00445202" w:rsidRDefault="00F0177B" w:rsidP="00445202">
    <w:pPr>
      <w:pStyle w:val="Header"/>
      <w:jc w:val="center"/>
      <w:rPr>
        <w:rFonts w:ascii="Times New Roman" w:hAnsi="Times New Roman"/>
      </w:rPr>
    </w:pPr>
    <w:r w:rsidRPr="00451044">
      <w:rPr>
        <w:rFonts w:ascii="Times New Roman" w:hAnsi="Times New Roman"/>
        <w:noProof/>
      </w:rPr>
      <w:t>Ierobežota pieejamība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790B9" w14:textId="77777777" w:rsidR="00EF0DD2" w:rsidRDefault="00EF0DD2" w:rsidP="004730E3">
      <w:pPr>
        <w:spacing w:after="0" w:line="240" w:lineRule="auto"/>
      </w:pPr>
      <w:r>
        <w:separator/>
      </w:r>
    </w:p>
  </w:footnote>
  <w:footnote w:type="continuationSeparator" w:id="0">
    <w:p w14:paraId="54168922" w14:textId="77777777" w:rsidR="00EF0DD2" w:rsidRDefault="00EF0DD2" w:rsidP="004730E3">
      <w:pPr>
        <w:spacing w:after="0" w:line="240" w:lineRule="auto"/>
      </w:pPr>
      <w:r>
        <w:continuationSeparator/>
      </w:r>
    </w:p>
  </w:footnote>
  <w:footnote w:id="1">
    <w:p w14:paraId="57841926" w14:textId="77777777" w:rsidR="004730E3" w:rsidRPr="00E17DF5" w:rsidRDefault="004730E3" w:rsidP="004730E3">
      <w:pPr>
        <w:pStyle w:val="FootnoteText"/>
        <w:ind w:right="284"/>
        <w:jc w:val="both"/>
      </w:pPr>
      <w:r w:rsidRPr="00E17DF5">
        <w:rPr>
          <w:rStyle w:val="FootnoteReference"/>
        </w:rPr>
        <w:footnoteRef/>
      </w:r>
      <w:r w:rsidRPr="00E17DF5">
        <w:t xml:space="preserve"> Ministru kabineta 31.10.2006. noteikumi Nr. 899 ,,Ambulatorajai ārstēšanai paredzēto zāļu un medicīnisko ierīču iegādes izdevumu kompensācijas kārtība”</w:t>
      </w:r>
      <w:r>
        <w:t xml:space="preserve"> (turpmāk – Noteikumi Nr. 899)</w:t>
      </w:r>
    </w:p>
  </w:footnote>
  <w:footnote w:id="2">
    <w:p w14:paraId="01C5B720" w14:textId="77777777" w:rsidR="004730E3" w:rsidRPr="00E17DF5" w:rsidRDefault="004730E3" w:rsidP="004730E3">
      <w:pPr>
        <w:pStyle w:val="FootnoteText"/>
        <w:ind w:right="284"/>
        <w:jc w:val="both"/>
      </w:pPr>
      <w:r w:rsidRPr="00E17DF5">
        <w:rPr>
          <w:rStyle w:val="FootnoteReference"/>
        </w:rPr>
        <w:footnoteRef/>
      </w:r>
      <w:r w:rsidRPr="00E17DF5">
        <w:t xml:space="preserve"> </w:t>
      </w:r>
      <w:r w:rsidRPr="00E17DF5">
        <w:t>Pieejams Dienesta tīmekļvietnē https://www.vmnvd.gov.lv Sākums&gt; Profesionāļiem&gt; Kompensējamie medikamenti&gt; Kompensējamo zāļu saraksti&gt;</w:t>
      </w:r>
    </w:p>
  </w:footnote>
  <w:footnote w:id="3">
    <w:p w14:paraId="190F04D1" w14:textId="77777777" w:rsidR="004730E3" w:rsidRPr="005E4377" w:rsidRDefault="004730E3" w:rsidP="004730E3">
      <w:pPr>
        <w:pStyle w:val="FootnoteText"/>
        <w:jc w:val="both"/>
      </w:pPr>
      <w:r w:rsidRPr="00B17DFD">
        <w:rPr>
          <w:rStyle w:val="FootnoteReference"/>
        </w:rPr>
        <w:footnoteRef/>
      </w:r>
      <w:hyperlink r:id="rId1" w:tooltip="inn_dg_uz_01.07.2026.xlsx" w:history="1">
        <w:proofErr w:type="spellStart"/>
        <w:r w:rsidRPr="005B65E8">
          <w:rPr>
            <w:rStyle w:val="Hyperlink"/>
            <w:lang w:val="en-US"/>
          </w:rPr>
          <w:t>Diagnožu</w:t>
        </w:r>
        <w:proofErr w:type="spellEnd"/>
        <w:r w:rsidRPr="005B65E8">
          <w:rPr>
            <w:rStyle w:val="Hyperlink"/>
            <w:lang w:val="en-US"/>
          </w:rPr>
          <w:t xml:space="preserve"> un </w:t>
        </w:r>
        <w:proofErr w:type="spellStart"/>
        <w:r w:rsidRPr="005B65E8">
          <w:rPr>
            <w:rStyle w:val="Hyperlink"/>
            <w:lang w:val="en-US"/>
          </w:rPr>
          <w:t>kompensējamo</w:t>
        </w:r>
        <w:proofErr w:type="spellEnd"/>
        <w:r w:rsidRPr="005B65E8">
          <w:rPr>
            <w:rStyle w:val="Hyperlink"/>
            <w:lang w:val="en-US"/>
          </w:rPr>
          <w:t xml:space="preserve"> </w:t>
        </w:r>
        <w:proofErr w:type="spellStart"/>
        <w:r w:rsidRPr="005B65E8">
          <w:rPr>
            <w:rStyle w:val="Hyperlink"/>
            <w:lang w:val="en-US"/>
          </w:rPr>
          <w:t>zāļu</w:t>
        </w:r>
        <w:proofErr w:type="spellEnd"/>
        <w:r w:rsidRPr="005B65E8">
          <w:rPr>
            <w:rStyle w:val="Hyperlink"/>
            <w:lang w:val="en-US"/>
          </w:rPr>
          <w:t xml:space="preserve"> </w:t>
        </w:r>
        <w:proofErr w:type="spellStart"/>
        <w:r w:rsidRPr="005B65E8">
          <w:rPr>
            <w:rStyle w:val="Hyperlink"/>
            <w:lang w:val="en-US"/>
          </w:rPr>
          <w:t>vispārīgo</w:t>
        </w:r>
        <w:proofErr w:type="spellEnd"/>
        <w:r w:rsidRPr="005B65E8">
          <w:rPr>
            <w:rStyle w:val="Hyperlink"/>
            <w:lang w:val="en-US"/>
          </w:rPr>
          <w:t xml:space="preserve"> </w:t>
        </w:r>
        <w:proofErr w:type="spellStart"/>
        <w:r w:rsidRPr="005B65E8">
          <w:rPr>
            <w:rStyle w:val="Hyperlink"/>
            <w:lang w:val="en-US"/>
          </w:rPr>
          <w:t>nosaukumu</w:t>
        </w:r>
        <w:proofErr w:type="spellEnd"/>
        <w:r w:rsidRPr="005B65E8">
          <w:rPr>
            <w:rStyle w:val="Hyperlink"/>
            <w:lang w:val="en-US"/>
          </w:rPr>
          <w:t xml:space="preserve">/ </w:t>
        </w:r>
        <w:proofErr w:type="spellStart"/>
        <w:r w:rsidRPr="005B65E8">
          <w:rPr>
            <w:rStyle w:val="Hyperlink"/>
            <w:lang w:val="en-US"/>
          </w:rPr>
          <w:t>medicīnisko</w:t>
        </w:r>
        <w:proofErr w:type="spellEnd"/>
        <w:r w:rsidRPr="005B65E8">
          <w:rPr>
            <w:rStyle w:val="Hyperlink"/>
            <w:lang w:val="en-US"/>
          </w:rPr>
          <w:t xml:space="preserve"> </w:t>
        </w:r>
        <w:proofErr w:type="spellStart"/>
        <w:r w:rsidRPr="005B65E8">
          <w:rPr>
            <w:rStyle w:val="Hyperlink"/>
            <w:lang w:val="en-US"/>
          </w:rPr>
          <w:t>ierīču</w:t>
        </w:r>
        <w:proofErr w:type="spellEnd"/>
        <w:r w:rsidRPr="005B65E8">
          <w:rPr>
            <w:rStyle w:val="Hyperlink"/>
            <w:lang w:val="en-US"/>
          </w:rPr>
          <w:t xml:space="preserve"> </w:t>
        </w:r>
        <w:proofErr w:type="spellStart"/>
        <w:r w:rsidRPr="005B65E8">
          <w:rPr>
            <w:rStyle w:val="Hyperlink"/>
            <w:lang w:val="en-US"/>
          </w:rPr>
          <w:t>saraksts</w:t>
        </w:r>
        <w:proofErr w:type="spellEnd"/>
        <w:r w:rsidRPr="005B65E8">
          <w:rPr>
            <w:rStyle w:val="Hyperlink"/>
            <w:lang w:val="en-US"/>
          </w:rPr>
          <w:t xml:space="preserve"> (no 2026. gada 1. </w:t>
        </w:r>
        <w:proofErr w:type="spellStart"/>
        <w:r w:rsidRPr="005B65E8">
          <w:rPr>
            <w:rStyle w:val="Hyperlink"/>
            <w:lang w:val="en-US"/>
          </w:rPr>
          <w:t>jūlija</w:t>
        </w:r>
        <w:proofErr w:type="spellEnd"/>
        <w:r w:rsidRPr="005B65E8">
          <w:rPr>
            <w:rStyle w:val="Hyperlink"/>
            <w:lang w:val="en-US"/>
          </w:rPr>
          <w:t>)</w:t>
        </w:r>
      </w:hyperlink>
      <w:r>
        <w:t xml:space="preserve"> - uzraudzībai izmantots pārbaudes periodam atbilstošais (aktuālais) Saraksts</w:t>
      </w:r>
    </w:p>
  </w:footnote>
  <w:footnote w:id="4">
    <w:p w14:paraId="703896A0" w14:textId="77777777" w:rsidR="004730E3" w:rsidRDefault="004730E3" w:rsidP="004730E3">
      <w:pPr>
        <w:pStyle w:val="FootnoteText"/>
        <w:jc w:val="both"/>
      </w:pPr>
      <w:r>
        <w:rPr>
          <w:rStyle w:val="FootnoteReference"/>
        </w:rPr>
        <w:footnoteRef/>
      </w:r>
      <w:r>
        <w:t xml:space="preserve"> </w:t>
      </w:r>
      <w:r>
        <w:t>Riska analīzē ņemta vērā informācija (valsts apmaksāti apmeklējumi pie endokrinologa, apmeklējumi pie kardiologa, aprūpes epizodes un saņemti pakalpojumu ar cukura diabēta diagnozēm, citas valsts kompensētās zāles cukura diabēta ārstēšanai) no VIS APANS, SPANS un BMANS moduļiem par valsta apmaksātiem veselības aprūpes pakalpojumiem, kā arī informāciju no Cukura diabēta pacientu reģistra pacientiem, ar lielu kompensēto Zāļu apjomu</w:t>
      </w:r>
    </w:p>
  </w:footnote>
  <w:footnote w:id="5">
    <w:p w14:paraId="5423294F" w14:textId="45117F0E" w:rsidR="00654EBD" w:rsidRDefault="00654EBD" w:rsidP="00EC59BE">
      <w:pPr>
        <w:pStyle w:val="FootnoteText"/>
        <w:jc w:val="both"/>
      </w:pPr>
      <w:r>
        <w:rPr>
          <w:rStyle w:val="FootnoteReference"/>
        </w:rPr>
        <w:footnoteRef/>
      </w:r>
      <w:r>
        <w:t xml:space="preserve"> </w:t>
      </w:r>
      <w:r w:rsidRPr="001D3283">
        <w:t>Ministru kabineta 08.03.2005.  noteikumi Nr. 175 “Recepšu veidlapu izgatavošanas un uzglabāšanas, kā arī recepšu izrakstīšanas un uzglabāšanas noteikumi” (turpmāk - Noteikumu Nr.175)</w:t>
      </w:r>
      <w:r>
        <w:t>, spēkā līdz 01.09.2026</w:t>
      </w:r>
    </w:p>
  </w:footnote>
  <w:footnote w:id="6">
    <w:p w14:paraId="0DCBAEE0" w14:textId="06DEBD65" w:rsidR="003F1878" w:rsidRPr="003F1878" w:rsidRDefault="003F1878" w:rsidP="003F1878">
      <w:pPr>
        <w:pStyle w:val="FootnoteText"/>
        <w:jc w:val="both"/>
      </w:pPr>
      <w:r w:rsidRPr="003F1878">
        <w:rPr>
          <w:rStyle w:val="FootnoteReference"/>
        </w:rPr>
        <w:footnoteRef/>
      </w:r>
      <w:r w:rsidRPr="003F1878">
        <w:t xml:space="preserve"> </w:t>
      </w:r>
      <w:r w:rsidRPr="003F1878">
        <w:t>Ministru kabineta 25.08.2026. noteikumu Nr. 512 “Recepšu veidlapu un recepšu aprites noteikumi” (turpmāk - Noteikumu Nr. 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3AE6" w14:textId="77777777" w:rsidR="00AA7022" w:rsidRPr="007C0743" w:rsidRDefault="00F0177B" w:rsidP="00445202">
    <w:pPr>
      <w:pStyle w:val="Header"/>
      <w:jc w:val="center"/>
      <w:rPr>
        <w:rFonts w:ascii="Times New Roman" w:hAnsi="Times New Roman"/>
      </w:rPr>
    </w:pPr>
    <w:r w:rsidRPr="00451044">
      <w:rPr>
        <w:rFonts w:ascii="Times New Roman" w:hAnsi="Times New Roman"/>
        <w:noProof/>
      </w:rPr>
      <w:t>Ierobežota pieejamība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68CB"/>
    <w:multiLevelType w:val="hybridMultilevel"/>
    <w:tmpl w:val="431C07A0"/>
    <w:lvl w:ilvl="0" w:tplc="9C388D32">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1E7F1E21"/>
    <w:multiLevelType w:val="hybridMultilevel"/>
    <w:tmpl w:val="5726D076"/>
    <w:lvl w:ilvl="0" w:tplc="E0E682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5844006A"/>
    <w:multiLevelType w:val="hybridMultilevel"/>
    <w:tmpl w:val="92A44916"/>
    <w:lvl w:ilvl="0" w:tplc="B76E9B38">
      <w:start w:val="1"/>
      <w:numFmt w:val="decimal"/>
      <w:lvlText w:val="%1)"/>
      <w:lvlJc w:val="left"/>
      <w:pPr>
        <w:ind w:left="1080" w:hanging="360"/>
      </w:pPr>
      <w:rPr>
        <w:rFonts w:hint="default"/>
      </w:rPr>
    </w:lvl>
    <w:lvl w:ilvl="1" w:tplc="1D9A0EEE" w:tentative="1">
      <w:start w:val="1"/>
      <w:numFmt w:val="lowerLetter"/>
      <w:lvlText w:val="%2."/>
      <w:lvlJc w:val="left"/>
      <w:pPr>
        <w:ind w:left="1800" w:hanging="360"/>
      </w:pPr>
    </w:lvl>
    <w:lvl w:ilvl="2" w:tplc="1E88AA5A" w:tentative="1">
      <w:start w:val="1"/>
      <w:numFmt w:val="lowerRoman"/>
      <w:lvlText w:val="%3."/>
      <w:lvlJc w:val="right"/>
      <w:pPr>
        <w:ind w:left="2520" w:hanging="180"/>
      </w:pPr>
    </w:lvl>
    <w:lvl w:ilvl="3" w:tplc="CDEEE150" w:tentative="1">
      <w:start w:val="1"/>
      <w:numFmt w:val="decimal"/>
      <w:lvlText w:val="%4."/>
      <w:lvlJc w:val="left"/>
      <w:pPr>
        <w:ind w:left="3240" w:hanging="360"/>
      </w:pPr>
    </w:lvl>
    <w:lvl w:ilvl="4" w:tplc="4A92373E" w:tentative="1">
      <w:start w:val="1"/>
      <w:numFmt w:val="lowerLetter"/>
      <w:lvlText w:val="%5."/>
      <w:lvlJc w:val="left"/>
      <w:pPr>
        <w:ind w:left="3960" w:hanging="360"/>
      </w:pPr>
    </w:lvl>
    <w:lvl w:ilvl="5" w:tplc="8EACDF1C" w:tentative="1">
      <w:start w:val="1"/>
      <w:numFmt w:val="lowerRoman"/>
      <w:lvlText w:val="%6."/>
      <w:lvlJc w:val="right"/>
      <w:pPr>
        <w:ind w:left="4680" w:hanging="180"/>
      </w:pPr>
    </w:lvl>
    <w:lvl w:ilvl="6" w:tplc="CE36AAF8" w:tentative="1">
      <w:start w:val="1"/>
      <w:numFmt w:val="decimal"/>
      <w:lvlText w:val="%7."/>
      <w:lvlJc w:val="left"/>
      <w:pPr>
        <w:ind w:left="5400" w:hanging="360"/>
      </w:pPr>
    </w:lvl>
    <w:lvl w:ilvl="7" w:tplc="57388152" w:tentative="1">
      <w:start w:val="1"/>
      <w:numFmt w:val="lowerLetter"/>
      <w:lvlText w:val="%8."/>
      <w:lvlJc w:val="left"/>
      <w:pPr>
        <w:ind w:left="6120" w:hanging="360"/>
      </w:pPr>
    </w:lvl>
    <w:lvl w:ilvl="8" w:tplc="B900D85C" w:tentative="1">
      <w:start w:val="1"/>
      <w:numFmt w:val="lowerRoman"/>
      <w:lvlText w:val="%9."/>
      <w:lvlJc w:val="right"/>
      <w:pPr>
        <w:ind w:left="6840" w:hanging="180"/>
      </w:pPr>
    </w:lvl>
  </w:abstractNum>
  <w:abstractNum w:abstractNumId="3" w15:restartNumberingAfterBreak="0">
    <w:nsid w:val="5BBB62CF"/>
    <w:multiLevelType w:val="hybridMultilevel"/>
    <w:tmpl w:val="F9420C58"/>
    <w:lvl w:ilvl="0" w:tplc="5498C0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391927339">
    <w:abstractNumId w:val="2"/>
  </w:num>
  <w:num w:numId="2" w16cid:durableId="609701859">
    <w:abstractNumId w:val="1"/>
  </w:num>
  <w:num w:numId="3" w16cid:durableId="1798065382">
    <w:abstractNumId w:val="0"/>
  </w:num>
  <w:num w:numId="4" w16cid:durableId="14157813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E3"/>
    <w:rsid w:val="002B29B3"/>
    <w:rsid w:val="003531FD"/>
    <w:rsid w:val="003F1878"/>
    <w:rsid w:val="004249D4"/>
    <w:rsid w:val="004730E3"/>
    <w:rsid w:val="004F1586"/>
    <w:rsid w:val="00654EBD"/>
    <w:rsid w:val="00794DF2"/>
    <w:rsid w:val="0082626E"/>
    <w:rsid w:val="00862FD1"/>
    <w:rsid w:val="00875B87"/>
    <w:rsid w:val="009023E9"/>
    <w:rsid w:val="00AA7022"/>
    <w:rsid w:val="00AC16F3"/>
    <w:rsid w:val="00B84E57"/>
    <w:rsid w:val="00B86BD5"/>
    <w:rsid w:val="00D430AF"/>
    <w:rsid w:val="00EC59BE"/>
    <w:rsid w:val="00EF0DD2"/>
    <w:rsid w:val="00F017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32AAC"/>
  <w15:chartTrackingRefBased/>
  <w15:docId w15:val="{76EE5A4D-8945-48FE-8720-494EDE7D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0E3"/>
    <w:pPr>
      <w:widowControl w:val="0"/>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473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0E3"/>
    <w:rPr>
      <w:rFonts w:eastAsiaTheme="majorEastAsia" w:cstheme="majorBidi"/>
      <w:color w:val="272727" w:themeColor="text1" w:themeTint="D8"/>
    </w:rPr>
  </w:style>
  <w:style w:type="paragraph" w:styleId="Title">
    <w:name w:val="Title"/>
    <w:basedOn w:val="Normal"/>
    <w:next w:val="Normal"/>
    <w:link w:val="TitleChar"/>
    <w:uiPriority w:val="10"/>
    <w:qFormat/>
    <w:rsid w:val="00473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0E3"/>
    <w:pPr>
      <w:spacing w:before="160"/>
      <w:jc w:val="center"/>
    </w:pPr>
    <w:rPr>
      <w:i/>
      <w:iCs/>
      <w:color w:val="404040" w:themeColor="text1" w:themeTint="BF"/>
    </w:rPr>
  </w:style>
  <w:style w:type="character" w:customStyle="1" w:styleId="QuoteChar">
    <w:name w:val="Quote Char"/>
    <w:basedOn w:val="DefaultParagraphFont"/>
    <w:link w:val="Quote"/>
    <w:uiPriority w:val="29"/>
    <w:rsid w:val="004730E3"/>
    <w:rPr>
      <w:i/>
      <w:iCs/>
      <w:color w:val="404040" w:themeColor="text1" w:themeTint="BF"/>
    </w:rPr>
  </w:style>
  <w:style w:type="paragraph" w:styleId="ListParagraph">
    <w:name w:val="List Paragraph"/>
    <w:basedOn w:val="Normal"/>
    <w:uiPriority w:val="34"/>
    <w:qFormat/>
    <w:rsid w:val="004730E3"/>
    <w:pPr>
      <w:ind w:left="720"/>
      <w:contextualSpacing/>
    </w:pPr>
  </w:style>
  <w:style w:type="character" w:styleId="IntenseEmphasis">
    <w:name w:val="Intense Emphasis"/>
    <w:basedOn w:val="DefaultParagraphFont"/>
    <w:uiPriority w:val="21"/>
    <w:qFormat/>
    <w:rsid w:val="004730E3"/>
    <w:rPr>
      <w:i/>
      <w:iCs/>
      <w:color w:val="0F4761" w:themeColor="accent1" w:themeShade="BF"/>
    </w:rPr>
  </w:style>
  <w:style w:type="paragraph" w:styleId="IntenseQuote">
    <w:name w:val="Intense Quote"/>
    <w:basedOn w:val="Normal"/>
    <w:next w:val="Normal"/>
    <w:link w:val="IntenseQuoteChar"/>
    <w:uiPriority w:val="30"/>
    <w:qFormat/>
    <w:rsid w:val="00473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0E3"/>
    <w:rPr>
      <w:i/>
      <w:iCs/>
      <w:color w:val="0F4761" w:themeColor="accent1" w:themeShade="BF"/>
    </w:rPr>
  </w:style>
  <w:style w:type="character" w:styleId="IntenseReference">
    <w:name w:val="Intense Reference"/>
    <w:basedOn w:val="DefaultParagraphFont"/>
    <w:uiPriority w:val="32"/>
    <w:qFormat/>
    <w:rsid w:val="004730E3"/>
    <w:rPr>
      <w:b/>
      <w:bCs/>
      <w:smallCaps/>
      <w:color w:val="0F4761" w:themeColor="accent1" w:themeShade="BF"/>
      <w:spacing w:val="5"/>
    </w:rPr>
  </w:style>
  <w:style w:type="paragraph" w:styleId="Header">
    <w:name w:val="header"/>
    <w:basedOn w:val="Normal"/>
    <w:link w:val="HeaderChar"/>
    <w:uiPriority w:val="99"/>
    <w:unhideWhenUsed/>
    <w:rsid w:val="004730E3"/>
    <w:pPr>
      <w:tabs>
        <w:tab w:val="center" w:pos="4320"/>
        <w:tab w:val="right" w:pos="8640"/>
      </w:tabs>
      <w:spacing w:after="0" w:line="240" w:lineRule="auto"/>
    </w:pPr>
  </w:style>
  <w:style w:type="character" w:customStyle="1" w:styleId="HeaderChar">
    <w:name w:val="Header Char"/>
    <w:basedOn w:val="DefaultParagraphFont"/>
    <w:link w:val="Header"/>
    <w:uiPriority w:val="99"/>
    <w:rsid w:val="004730E3"/>
    <w:rPr>
      <w:rFonts w:ascii="Calibri" w:eastAsia="Calibri" w:hAnsi="Calibri" w:cs="Times New Roman"/>
      <w:kern w:val="0"/>
      <w:sz w:val="22"/>
      <w:szCs w:val="22"/>
      <w:lang w:val="en-US"/>
      <w14:ligatures w14:val="none"/>
    </w:rPr>
  </w:style>
  <w:style w:type="paragraph" w:styleId="FootnoteText">
    <w:name w:val="footnote text"/>
    <w:aliases w:val="Char,Char Rakstz. Rakstz. Rakstz.,Footnote,Fußnote,Fußnote Rakstz. Rakstz. R,Fußnote Rakstz. Rakstz. Rakstz. Rakstz.,Fußnote Rakstz. Rakstz. Rakstz. Rakstz. Rakstz.,Fußnote Rakstz. Rakstz. Rakstz. Rakstz. Rakstz. Rakstz."/>
    <w:basedOn w:val="Normal"/>
    <w:link w:val="FootnoteTextChar"/>
    <w:uiPriority w:val="99"/>
    <w:qFormat/>
    <w:rsid w:val="004730E3"/>
    <w:pPr>
      <w:widowControl/>
      <w:overflowPunct w:val="0"/>
      <w:autoSpaceDE w:val="0"/>
      <w:autoSpaceDN w:val="0"/>
      <w:adjustRightInd w:val="0"/>
      <w:spacing w:after="0" w:line="240" w:lineRule="auto"/>
      <w:textAlignment w:val="baseline"/>
    </w:pPr>
    <w:rPr>
      <w:rFonts w:ascii="Times New Roman" w:eastAsia="Times New Roman" w:hAnsi="Times New Roman"/>
      <w:sz w:val="20"/>
      <w:szCs w:val="20"/>
      <w:lang w:val="lv-LV"/>
    </w:rPr>
  </w:style>
  <w:style w:type="character" w:customStyle="1" w:styleId="FootnoteTextChar">
    <w:name w:val="Footnote Text Char"/>
    <w:aliases w:val="Char Char,Char Rakstz. Rakstz. Rakstz. Char,Footnote Char,Fußnote Char,Fußnote Rakstz. Rakstz. R Char,Fußnote Rakstz. Rakstz. Rakstz. Rakstz. Char,Fußnote Rakstz. Rakstz. Rakstz. Rakstz. Rakstz. Char"/>
    <w:basedOn w:val="DefaultParagraphFont"/>
    <w:link w:val="FootnoteText"/>
    <w:uiPriority w:val="99"/>
    <w:qFormat/>
    <w:rsid w:val="004730E3"/>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CharCharChar"/>
    <w:uiPriority w:val="99"/>
    <w:qFormat/>
    <w:rsid w:val="004730E3"/>
    <w:rPr>
      <w:vertAlign w:val="superscript"/>
    </w:rPr>
  </w:style>
  <w:style w:type="paragraph" w:customStyle="1" w:styleId="CharCharCharChar">
    <w:name w:val="Char Char Char Char"/>
    <w:aliases w:val="Char2"/>
    <w:basedOn w:val="Normal"/>
    <w:next w:val="Normal"/>
    <w:link w:val="FootnoteReference"/>
    <w:uiPriority w:val="99"/>
    <w:rsid w:val="004730E3"/>
    <w:pPr>
      <w:widowControl/>
      <w:spacing w:after="160" w:line="240" w:lineRule="exact"/>
      <w:jc w:val="both"/>
    </w:pPr>
    <w:rPr>
      <w:rFonts w:asciiTheme="minorHAnsi" w:eastAsiaTheme="minorHAnsi" w:hAnsiTheme="minorHAnsi" w:cstheme="minorBidi"/>
      <w:kern w:val="2"/>
      <w:sz w:val="24"/>
      <w:szCs w:val="24"/>
      <w:vertAlign w:val="superscript"/>
      <w:lang w:val="lv-LV"/>
      <w14:ligatures w14:val="standardContextual"/>
    </w:rPr>
  </w:style>
  <w:style w:type="character" w:styleId="Hyperlink">
    <w:name w:val="Hyperlink"/>
    <w:basedOn w:val="DefaultParagraphFont"/>
    <w:uiPriority w:val="99"/>
    <w:unhideWhenUsed/>
    <w:rsid w:val="004730E3"/>
    <w:rPr>
      <w:color w:val="467886" w:themeColor="hyperlink"/>
      <w:u w:val="single"/>
    </w:rPr>
  </w:style>
  <w:style w:type="paragraph" w:styleId="Footer">
    <w:name w:val="footer"/>
    <w:basedOn w:val="Normal"/>
    <w:link w:val="FooterChar"/>
    <w:uiPriority w:val="99"/>
    <w:unhideWhenUsed/>
    <w:rsid w:val="004730E3"/>
    <w:pPr>
      <w:tabs>
        <w:tab w:val="center" w:pos="4153"/>
        <w:tab w:val="right" w:pos="8306"/>
      </w:tabs>
      <w:spacing w:after="0" w:line="240" w:lineRule="auto"/>
    </w:pPr>
  </w:style>
  <w:style w:type="character" w:customStyle="1" w:styleId="FooterChar">
    <w:name w:val="Footer Char"/>
    <w:basedOn w:val="DefaultParagraphFont"/>
    <w:link w:val="Footer"/>
    <w:uiPriority w:val="99"/>
    <w:rsid w:val="004730E3"/>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vmnvd.gov.lv/lv/media/44160/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31A53-A835-4C67-ABDD-0C17C8EB3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5268</Words>
  <Characters>3004</Characters>
  <Application>Microsoft Office Word</Application>
  <DocSecurity>0</DocSecurity>
  <Lines>25</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Lihovecka</dc:creator>
  <cp:keywords/>
  <dc:description/>
  <cp:lastModifiedBy>Vineta Leincena</cp:lastModifiedBy>
  <cp:revision>3</cp:revision>
  <dcterms:created xsi:type="dcterms:W3CDTF">2026-09-23T06:56:00Z</dcterms:created>
  <dcterms:modified xsi:type="dcterms:W3CDTF">2026-09-23T10:22:00Z</dcterms:modified>
</cp:coreProperties>
</file>