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47E273A1" w14:textId="0BA8F02A" w:rsidR="002051D5"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72416639" w:history="1">
            <w:r w:rsidR="002051D5" w:rsidRPr="0003018C">
              <w:rPr>
                <w:rStyle w:val="Hyperlink"/>
                <w:noProof/>
              </w:rPr>
              <w:t>Izmaiņas Manipulāciju sarakstā ar 01.06.2021.</w:t>
            </w:r>
            <w:r w:rsidR="002051D5">
              <w:rPr>
                <w:noProof/>
                <w:webHidden/>
              </w:rPr>
              <w:tab/>
            </w:r>
            <w:r w:rsidR="002051D5">
              <w:rPr>
                <w:noProof/>
                <w:webHidden/>
              </w:rPr>
              <w:fldChar w:fldCharType="begin"/>
            </w:r>
            <w:r w:rsidR="002051D5">
              <w:rPr>
                <w:noProof/>
                <w:webHidden/>
              </w:rPr>
              <w:instrText xml:space="preserve"> PAGEREF _Toc72416639 \h </w:instrText>
            </w:r>
            <w:r w:rsidR="002051D5">
              <w:rPr>
                <w:noProof/>
                <w:webHidden/>
              </w:rPr>
            </w:r>
            <w:r w:rsidR="002051D5">
              <w:rPr>
                <w:noProof/>
                <w:webHidden/>
              </w:rPr>
              <w:fldChar w:fldCharType="separate"/>
            </w:r>
            <w:r w:rsidR="0061349A">
              <w:rPr>
                <w:noProof/>
                <w:webHidden/>
              </w:rPr>
              <w:t>3</w:t>
            </w:r>
            <w:r w:rsidR="002051D5">
              <w:rPr>
                <w:noProof/>
                <w:webHidden/>
              </w:rPr>
              <w:fldChar w:fldCharType="end"/>
            </w:r>
          </w:hyperlink>
        </w:p>
        <w:p w14:paraId="557AC3E0" w14:textId="35D69A1B"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0" w:history="1">
            <w:r w:rsidR="002051D5" w:rsidRPr="0003018C">
              <w:rPr>
                <w:rStyle w:val="Hyperlink"/>
                <w:noProof/>
              </w:rPr>
              <w:t>Izmaiņas Manipulāciju sarakstā ar 01.05.2021.</w:t>
            </w:r>
            <w:r w:rsidR="002051D5">
              <w:rPr>
                <w:noProof/>
                <w:webHidden/>
              </w:rPr>
              <w:tab/>
            </w:r>
            <w:r w:rsidR="002051D5">
              <w:rPr>
                <w:noProof/>
                <w:webHidden/>
              </w:rPr>
              <w:fldChar w:fldCharType="begin"/>
            </w:r>
            <w:r w:rsidR="002051D5">
              <w:rPr>
                <w:noProof/>
                <w:webHidden/>
              </w:rPr>
              <w:instrText xml:space="preserve"> PAGEREF _Toc72416640 \h </w:instrText>
            </w:r>
            <w:r w:rsidR="002051D5">
              <w:rPr>
                <w:noProof/>
                <w:webHidden/>
              </w:rPr>
            </w:r>
            <w:r w:rsidR="002051D5">
              <w:rPr>
                <w:noProof/>
                <w:webHidden/>
              </w:rPr>
              <w:fldChar w:fldCharType="separate"/>
            </w:r>
            <w:r w:rsidR="0061349A">
              <w:rPr>
                <w:noProof/>
                <w:webHidden/>
              </w:rPr>
              <w:t>8</w:t>
            </w:r>
            <w:r w:rsidR="002051D5">
              <w:rPr>
                <w:noProof/>
                <w:webHidden/>
              </w:rPr>
              <w:fldChar w:fldCharType="end"/>
            </w:r>
          </w:hyperlink>
        </w:p>
        <w:p w14:paraId="61B940CA" w14:textId="0AA36D92"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1" w:history="1">
            <w:r w:rsidR="002051D5" w:rsidRPr="0003018C">
              <w:rPr>
                <w:rStyle w:val="Hyperlink"/>
                <w:noProof/>
              </w:rPr>
              <w:t>Izmaiņas Manipulāciju sarakstā ar 22.02.2021.</w:t>
            </w:r>
            <w:r w:rsidR="002051D5">
              <w:rPr>
                <w:noProof/>
                <w:webHidden/>
              </w:rPr>
              <w:tab/>
            </w:r>
            <w:r w:rsidR="002051D5">
              <w:rPr>
                <w:noProof/>
                <w:webHidden/>
              </w:rPr>
              <w:fldChar w:fldCharType="begin"/>
            </w:r>
            <w:r w:rsidR="002051D5">
              <w:rPr>
                <w:noProof/>
                <w:webHidden/>
              </w:rPr>
              <w:instrText xml:space="preserve"> PAGEREF _Toc72416641 \h </w:instrText>
            </w:r>
            <w:r w:rsidR="002051D5">
              <w:rPr>
                <w:noProof/>
                <w:webHidden/>
              </w:rPr>
            </w:r>
            <w:r w:rsidR="002051D5">
              <w:rPr>
                <w:noProof/>
                <w:webHidden/>
              </w:rPr>
              <w:fldChar w:fldCharType="separate"/>
            </w:r>
            <w:r w:rsidR="0061349A">
              <w:rPr>
                <w:noProof/>
                <w:webHidden/>
              </w:rPr>
              <w:t>12</w:t>
            </w:r>
            <w:r w:rsidR="002051D5">
              <w:rPr>
                <w:noProof/>
                <w:webHidden/>
              </w:rPr>
              <w:fldChar w:fldCharType="end"/>
            </w:r>
          </w:hyperlink>
        </w:p>
        <w:p w14:paraId="1AF76C1D" w14:textId="6DC82EBE"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2" w:history="1">
            <w:r w:rsidR="002051D5" w:rsidRPr="0003018C">
              <w:rPr>
                <w:rStyle w:val="Hyperlink"/>
                <w:noProof/>
              </w:rPr>
              <w:t>Izmaiņas Manipulāciju sarakstā no 19.04.2021.</w:t>
            </w:r>
            <w:r w:rsidR="002051D5">
              <w:rPr>
                <w:noProof/>
                <w:webHidden/>
              </w:rPr>
              <w:tab/>
            </w:r>
            <w:r w:rsidR="002051D5">
              <w:rPr>
                <w:noProof/>
                <w:webHidden/>
              </w:rPr>
              <w:fldChar w:fldCharType="begin"/>
            </w:r>
            <w:r w:rsidR="002051D5">
              <w:rPr>
                <w:noProof/>
                <w:webHidden/>
              </w:rPr>
              <w:instrText xml:space="preserve"> PAGEREF _Toc72416642 \h </w:instrText>
            </w:r>
            <w:r w:rsidR="002051D5">
              <w:rPr>
                <w:noProof/>
                <w:webHidden/>
              </w:rPr>
            </w:r>
            <w:r w:rsidR="002051D5">
              <w:rPr>
                <w:noProof/>
                <w:webHidden/>
              </w:rPr>
              <w:fldChar w:fldCharType="separate"/>
            </w:r>
            <w:r w:rsidR="0061349A">
              <w:rPr>
                <w:noProof/>
                <w:webHidden/>
              </w:rPr>
              <w:t>15</w:t>
            </w:r>
            <w:r w:rsidR="002051D5">
              <w:rPr>
                <w:noProof/>
                <w:webHidden/>
              </w:rPr>
              <w:fldChar w:fldCharType="end"/>
            </w:r>
          </w:hyperlink>
        </w:p>
        <w:p w14:paraId="20FB4923" w14:textId="6DE5A555"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3" w:history="1">
            <w:r w:rsidR="002051D5" w:rsidRPr="0003018C">
              <w:rPr>
                <w:rStyle w:val="Hyperlink"/>
                <w:noProof/>
              </w:rPr>
              <w:t>Izmaiņas Manipulāciju sarakstā no 01.04.2021.</w:t>
            </w:r>
            <w:r w:rsidR="002051D5">
              <w:rPr>
                <w:noProof/>
                <w:webHidden/>
              </w:rPr>
              <w:tab/>
            </w:r>
            <w:r w:rsidR="002051D5">
              <w:rPr>
                <w:noProof/>
                <w:webHidden/>
              </w:rPr>
              <w:fldChar w:fldCharType="begin"/>
            </w:r>
            <w:r w:rsidR="002051D5">
              <w:rPr>
                <w:noProof/>
                <w:webHidden/>
              </w:rPr>
              <w:instrText xml:space="preserve"> PAGEREF _Toc72416643 \h </w:instrText>
            </w:r>
            <w:r w:rsidR="002051D5">
              <w:rPr>
                <w:noProof/>
                <w:webHidden/>
              </w:rPr>
            </w:r>
            <w:r w:rsidR="002051D5">
              <w:rPr>
                <w:noProof/>
                <w:webHidden/>
              </w:rPr>
              <w:fldChar w:fldCharType="separate"/>
            </w:r>
            <w:r w:rsidR="0061349A">
              <w:rPr>
                <w:noProof/>
                <w:webHidden/>
              </w:rPr>
              <w:t>17</w:t>
            </w:r>
            <w:r w:rsidR="002051D5">
              <w:rPr>
                <w:noProof/>
                <w:webHidden/>
              </w:rPr>
              <w:fldChar w:fldCharType="end"/>
            </w:r>
          </w:hyperlink>
        </w:p>
        <w:p w14:paraId="63318AD2" w14:textId="34F04971"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4" w:history="1">
            <w:r w:rsidR="002051D5" w:rsidRPr="0003018C">
              <w:rPr>
                <w:rStyle w:val="Hyperlink"/>
                <w:noProof/>
              </w:rPr>
              <w:t>Izmaiņas Manipulāciju sarakstā no 01.01.2021.</w:t>
            </w:r>
            <w:r w:rsidR="002051D5">
              <w:rPr>
                <w:noProof/>
                <w:webHidden/>
              </w:rPr>
              <w:tab/>
            </w:r>
            <w:r w:rsidR="002051D5">
              <w:rPr>
                <w:noProof/>
                <w:webHidden/>
              </w:rPr>
              <w:fldChar w:fldCharType="begin"/>
            </w:r>
            <w:r w:rsidR="002051D5">
              <w:rPr>
                <w:noProof/>
                <w:webHidden/>
              </w:rPr>
              <w:instrText xml:space="preserve"> PAGEREF _Toc72416644 \h </w:instrText>
            </w:r>
            <w:r w:rsidR="002051D5">
              <w:rPr>
                <w:noProof/>
                <w:webHidden/>
              </w:rPr>
            </w:r>
            <w:r w:rsidR="002051D5">
              <w:rPr>
                <w:noProof/>
                <w:webHidden/>
              </w:rPr>
              <w:fldChar w:fldCharType="separate"/>
            </w:r>
            <w:r w:rsidR="0061349A">
              <w:rPr>
                <w:noProof/>
                <w:webHidden/>
              </w:rPr>
              <w:t>69</w:t>
            </w:r>
            <w:r w:rsidR="002051D5">
              <w:rPr>
                <w:noProof/>
                <w:webHidden/>
              </w:rPr>
              <w:fldChar w:fldCharType="end"/>
            </w:r>
          </w:hyperlink>
        </w:p>
        <w:p w14:paraId="7EA78296" w14:textId="4E5E9414"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5" w:history="1">
            <w:r w:rsidR="002051D5" w:rsidRPr="0003018C">
              <w:rPr>
                <w:rStyle w:val="Hyperlink"/>
                <w:noProof/>
              </w:rPr>
              <w:t>Izmaiņas Manipulāciju sarakstā no 01.10.2020</w:t>
            </w:r>
            <w:r w:rsidR="002051D5">
              <w:rPr>
                <w:noProof/>
                <w:webHidden/>
              </w:rPr>
              <w:tab/>
            </w:r>
            <w:r w:rsidR="002051D5">
              <w:rPr>
                <w:noProof/>
                <w:webHidden/>
              </w:rPr>
              <w:fldChar w:fldCharType="begin"/>
            </w:r>
            <w:r w:rsidR="002051D5">
              <w:rPr>
                <w:noProof/>
                <w:webHidden/>
              </w:rPr>
              <w:instrText xml:space="preserve"> PAGEREF _Toc72416645 \h </w:instrText>
            </w:r>
            <w:r w:rsidR="002051D5">
              <w:rPr>
                <w:noProof/>
                <w:webHidden/>
              </w:rPr>
            </w:r>
            <w:r w:rsidR="002051D5">
              <w:rPr>
                <w:noProof/>
                <w:webHidden/>
              </w:rPr>
              <w:fldChar w:fldCharType="separate"/>
            </w:r>
            <w:r w:rsidR="0061349A">
              <w:rPr>
                <w:noProof/>
                <w:webHidden/>
              </w:rPr>
              <w:t>141</w:t>
            </w:r>
            <w:r w:rsidR="002051D5">
              <w:rPr>
                <w:noProof/>
                <w:webHidden/>
              </w:rPr>
              <w:fldChar w:fldCharType="end"/>
            </w:r>
          </w:hyperlink>
        </w:p>
        <w:p w14:paraId="7B49AEB2" w14:textId="10725EC0"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6" w:history="1">
            <w:r w:rsidR="002051D5" w:rsidRPr="0003018C">
              <w:rPr>
                <w:rStyle w:val="Hyperlink"/>
                <w:noProof/>
              </w:rPr>
              <w:t>Izmaiņas Manipulāciju sarakstā no 01.07.2020</w:t>
            </w:r>
            <w:r w:rsidR="002051D5">
              <w:rPr>
                <w:noProof/>
                <w:webHidden/>
              </w:rPr>
              <w:tab/>
            </w:r>
            <w:r w:rsidR="002051D5">
              <w:rPr>
                <w:noProof/>
                <w:webHidden/>
              </w:rPr>
              <w:fldChar w:fldCharType="begin"/>
            </w:r>
            <w:r w:rsidR="002051D5">
              <w:rPr>
                <w:noProof/>
                <w:webHidden/>
              </w:rPr>
              <w:instrText xml:space="preserve"> PAGEREF _Toc72416646 \h </w:instrText>
            </w:r>
            <w:r w:rsidR="002051D5">
              <w:rPr>
                <w:noProof/>
                <w:webHidden/>
              </w:rPr>
            </w:r>
            <w:r w:rsidR="002051D5">
              <w:rPr>
                <w:noProof/>
                <w:webHidden/>
              </w:rPr>
              <w:fldChar w:fldCharType="separate"/>
            </w:r>
            <w:r w:rsidR="0061349A">
              <w:rPr>
                <w:noProof/>
                <w:webHidden/>
              </w:rPr>
              <w:t>174</w:t>
            </w:r>
            <w:r w:rsidR="002051D5">
              <w:rPr>
                <w:noProof/>
                <w:webHidden/>
              </w:rPr>
              <w:fldChar w:fldCharType="end"/>
            </w:r>
          </w:hyperlink>
        </w:p>
        <w:p w14:paraId="54BFECC2" w14:textId="1EAFAA54"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7" w:history="1">
            <w:r w:rsidR="002051D5" w:rsidRPr="0003018C">
              <w:rPr>
                <w:rStyle w:val="Hyperlink"/>
                <w:noProof/>
              </w:rPr>
              <w:t>Izmaiņas Manipulāciju sarakstā no 01.04.2020</w:t>
            </w:r>
            <w:r w:rsidR="002051D5">
              <w:rPr>
                <w:noProof/>
                <w:webHidden/>
              </w:rPr>
              <w:tab/>
            </w:r>
            <w:r w:rsidR="002051D5">
              <w:rPr>
                <w:noProof/>
                <w:webHidden/>
              </w:rPr>
              <w:fldChar w:fldCharType="begin"/>
            </w:r>
            <w:r w:rsidR="002051D5">
              <w:rPr>
                <w:noProof/>
                <w:webHidden/>
              </w:rPr>
              <w:instrText xml:space="preserve"> PAGEREF _Toc72416647 \h </w:instrText>
            </w:r>
            <w:r w:rsidR="002051D5">
              <w:rPr>
                <w:noProof/>
                <w:webHidden/>
              </w:rPr>
            </w:r>
            <w:r w:rsidR="002051D5">
              <w:rPr>
                <w:noProof/>
                <w:webHidden/>
              </w:rPr>
              <w:fldChar w:fldCharType="separate"/>
            </w:r>
            <w:r w:rsidR="0061349A">
              <w:rPr>
                <w:noProof/>
                <w:webHidden/>
              </w:rPr>
              <w:t>194</w:t>
            </w:r>
            <w:r w:rsidR="002051D5">
              <w:rPr>
                <w:noProof/>
                <w:webHidden/>
              </w:rPr>
              <w:fldChar w:fldCharType="end"/>
            </w:r>
          </w:hyperlink>
        </w:p>
        <w:p w14:paraId="61EA9F53" w14:textId="53E312B8"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8" w:history="1">
            <w:r w:rsidR="002051D5" w:rsidRPr="0003018C">
              <w:rPr>
                <w:rStyle w:val="Hyperlink"/>
                <w:noProof/>
              </w:rPr>
              <w:t>Izmaiņas Manipulāciju sarakstā no 01.01.2020.</w:t>
            </w:r>
            <w:r w:rsidR="002051D5">
              <w:rPr>
                <w:noProof/>
                <w:webHidden/>
              </w:rPr>
              <w:tab/>
            </w:r>
            <w:r w:rsidR="002051D5">
              <w:rPr>
                <w:noProof/>
                <w:webHidden/>
              </w:rPr>
              <w:fldChar w:fldCharType="begin"/>
            </w:r>
            <w:r w:rsidR="002051D5">
              <w:rPr>
                <w:noProof/>
                <w:webHidden/>
              </w:rPr>
              <w:instrText xml:space="preserve"> PAGEREF _Toc72416648 \h </w:instrText>
            </w:r>
            <w:r w:rsidR="002051D5">
              <w:rPr>
                <w:noProof/>
                <w:webHidden/>
              </w:rPr>
            </w:r>
            <w:r w:rsidR="002051D5">
              <w:rPr>
                <w:noProof/>
                <w:webHidden/>
              </w:rPr>
              <w:fldChar w:fldCharType="separate"/>
            </w:r>
            <w:r w:rsidR="0061349A">
              <w:rPr>
                <w:noProof/>
                <w:webHidden/>
              </w:rPr>
              <w:t>206</w:t>
            </w:r>
            <w:r w:rsidR="002051D5">
              <w:rPr>
                <w:noProof/>
                <w:webHidden/>
              </w:rPr>
              <w:fldChar w:fldCharType="end"/>
            </w:r>
          </w:hyperlink>
        </w:p>
        <w:p w14:paraId="00EF0C9F" w14:textId="696E5DDD"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49" w:history="1">
            <w:r w:rsidR="002051D5" w:rsidRPr="0003018C">
              <w:rPr>
                <w:rStyle w:val="Hyperlink"/>
                <w:noProof/>
              </w:rPr>
              <w:t>Izmaiņas Manipulāciju sarakstā no 01.10.2019</w:t>
            </w:r>
            <w:r w:rsidR="002051D5">
              <w:rPr>
                <w:noProof/>
                <w:webHidden/>
              </w:rPr>
              <w:tab/>
            </w:r>
            <w:r w:rsidR="002051D5">
              <w:rPr>
                <w:noProof/>
                <w:webHidden/>
              </w:rPr>
              <w:fldChar w:fldCharType="begin"/>
            </w:r>
            <w:r w:rsidR="002051D5">
              <w:rPr>
                <w:noProof/>
                <w:webHidden/>
              </w:rPr>
              <w:instrText xml:space="preserve"> PAGEREF _Toc72416649 \h </w:instrText>
            </w:r>
            <w:r w:rsidR="002051D5">
              <w:rPr>
                <w:noProof/>
                <w:webHidden/>
              </w:rPr>
            </w:r>
            <w:r w:rsidR="002051D5">
              <w:rPr>
                <w:noProof/>
                <w:webHidden/>
              </w:rPr>
              <w:fldChar w:fldCharType="separate"/>
            </w:r>
            <w:r w:rsidR="0061349A">
              <w:rPr>
                <w:noProof/>
                <w:webHidden/>
              </w:rPr>
              <w:t>222</w:t>
            </w:r>
            <w:r w:rsidR="002051D5">
              <w:rPr>
                <w:noProof/>
                <w:webHidden/>
              </w:rPr>
              <w:fldChar w:fldCharType="end"/>
            </w:r>
          </w:hyperlink>
        </w:p>
        <w:p w14:paraId="6DC3DE97" w14:textId="75F856DC"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50" w:history="1">
            <w:r w:rsidR="002051D5" w:rsidRPr="0003018C">
              <w:rPr>
                <w:rStyle w:val="Hyperlink"/>
                <w:noProof/>
              </w:rPr>
              <w:t>Izmaiņas Manipulāciju sarakstā no 12.08.2019</w:t>
            </w:r>
            <w:r w:rsidR="002051D5">
              <w:rPr>
                <w:noProof/>
                <w:webHidden/>
              </w:rPr>
              <w:tab/>
            </w:r>
            <w:r w:rsidR="002051D5">
              <w:rPr>
                <w:noProof/>
                <w:webHidden/>
              </w:rPr>
              <w:fldChar w:fldCharType="begin"/>
            </w:r>
            <w:r w:rsidR="002051D5">
              <w:rPr>
                <w:noProof/>
                <w:webHidden/>
              </w:rPr>
              <w:instrText xml:space="preserve"> PAGEREF _Toc72416650 \h </w:instrText>
            </w:r>
            <w:r w:rsidR="002051D5">
              <w:rPr>
                <w:noProof/>
                <w:webHidden/>
              </w:rPr>
            </w:r>
            <w:r w:rsidR="002051D5">
              <w:rPr>
                <w:noProof/>
                <w:webHidden/>
              </w:rPr>
              <w:fldChar w:fldCharType="separate"/>
            </w:r>
            <w:r w:rsidR="0061349A">
              <w:rPr>
                <w:noProof/>
                <w:webHidden/>
              </w:rPr>
              <w:t>228</w:t>
            </w:r>
            <w:r w:rsidR="002051D5">
              <w:rPr>
                <w:noProof/>
                <w:webHidden/>
              </w:rPr>
              <w:fldChar w:fldCharType="end"/>
            </w:r>
          </w:hyperlink>
        </w:p>
        <w:p w14:paraId="0E3F34DB" w14:textId="6C7ED8DB"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51" w:history="1">
            <w:r w:rsidR="002051D5" w:rsidRPr="0003018C">
              <w:rPr>
                <w:rStyle w:val="Hyperlink"/>
                <w:noProof/>
              </w:rPr>
              <w:t>Izmaiņas Manipulāciju sarakstā no 12.04.2019</w:t>
            </w:r>
            <w:r w:rsidR="002051D5">
              <w:rPr>
                <w:noProof/>
                <w:webHidden/>
              </w:rPr>
              <w:tab/>
            </w:r>
            <w:r w:rsidR="002051D5">
              <w:rPr>
                <w:noProof/>
                <w:webHidden/>
              </w:rPr>
              <w:fldChar w:fldCharType="begin"/>
            </w:r>
            <w:r w:rsidR="002051D5">
              <w:rPr>
                <w:noProof/>
                <w:webHidden/>
              </w:rPr>
              <w:instrText xml:space="preserve"> PAGEREF _Toc72416651 \h </w:instrText>
            </w:r>
            <w:r w:rsidR="002051D5">
              <w:rPr>
                <w:noProof/>
                <w:webHidden/>
              </w:rPr>
            </w:r>
            <w:r w:rsidR="002051D5">
              <w:rPr>
                <w:noProof/>
                <w:webHidden/>
              </w:rPr>
              <w:fldChar w:fldCharType="separate"/>
            </w:r>
            <w:r w:rsidR="0061349A">
              <w:rPr>
                <w:noProof/>
                <w:webHidden/>
              </w:rPr>
              <w:t>233</w:t>
            </w:r>
            <w:r w:rsidR="002051D5">
              <w:rPr>
                <w:noProof/>
                <w:webHidden/>
              </w:rPr>
              <w:fldChar w:fldCharType="end"/>
            </w:r>
          </w:hyperlink>
        </w:p>
        <w:p w14:paraId="29DB6716" w14:textId="42F34609"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52" w:history="1">
            <w:r w:rsidR="002051D5" w:rsidRPr="0003018C">
              <w:rPr>
                <w:rStyle w:val="Hyperlink"/>
                <w:noProof/>
              </w:rPr>
              <w:t>Izmaiņas Manipulāciju sarakstā no 01.04.2019</w:t>
            </w:r>
            <w:r w:rsidR="002051D5">
              <w:rPr>
                <w:noProof/>
                <w:webHidden/>
              </w:rPr>
              <w:tab/>
            </w:r>
            <w:r w:rsidR="002051D5">
              <w:rPr>
                <w:noProof/>
                <w:webHidden/>
              </w:rPr>
              <w:fldChar w:fldCharType="begin"/>
            </w:r>
            <w:r w:rsidR="002051D5">
              <w:rPr>
                <w:noProof/>
                <w:webHidden/>
              </w:rPr>
              <w:instrText xml:space="preserve"> PAGEREF _Toc72416652 \h </w:instrText>
            </w:r>
            <w:r w:rsidR="002051D5">
              <w:rPr>
                <w:noProof/>
                <w:webHidden/>
              </w:rPr>
            </w:r>
            <w:r w:rsidR="002051D5">
              <w:rPr>
                <w:noProof/>
                <w:webHidden/>
              </w:rPr>
              <w:fldChar w:fldCharType="separate"/>
            </w:r>
            <w:r w:rsidR="0061349A">
              <w:rPr>
                <w:noProof/>
                <w:webHidden/>
              </w:rPr>
              <w:t>234</w:t>
            </w:r>
            <w:r w:rsidR="002051D5">
              <w:rPr>
                <w:noProof/>
                <w:webHidden/>
              </w:rPr>
              <w:fldChar w:fldCharType="end"/>
            </w:r>
          </w:hyperlink>
        </w:p>
        <w:p w14:paraId="610E934D" w14:textId="701CA51C"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53" w:history="1">
            <w:r w:rsidR="002051D5" w:rsidRPr="0003018C">
              <w:rPr>
                <w:rStyle w:val="Hyperlink"/>
                <w:noProof/>
              </w:rPr>
              <w:t>Izmaiņas Manipulāciju sarakstā no 11.02.2019</w:t>
            </w:r>
            <w:r w:rsidR="002051D5">
              <w:rPr>
                <w:noProof/>
                <w:webHidden/>
              </w:rPr>
              <w:tab/>
            </w:r>
            <w:r w:rsidR="002051D5">
              <w:rPr>
                <w:noProof/>
                <w:webHidden/>
              </w:rPr>
              <w:fldChar w:fldCharType="begin"/>
            </w:r>
            <w:r w:rsidR="002051D5">
              <w:rPr>
                <w:noProof/>
                <w:webHidden/>
              </w:rPr>
              <w:instrText xml:space="preserve"> PAGEREF _Toc72416653 \h </w:instrText>
            </w:r>
            <w:r w:rsidR="002051D5">
              <w:rPr>
                <w:noProof/>
                <w:webHidden/>
              </w:rPr>
            </w:r>
            <w:r w:rsidR="002051D5">
              <w:rPr>
                <w:noProof/>
                <w:webHidden/>
              </w:rPr>
              <w:fldChar w:fldCharType="separate"/>
            </w:r>
            <w:r w:rsidR="0061349A">
              <w:rPr>
                <w:noProof/>
                <w:webHidden/>
              </w:rPr>
              <w:t>245</w:t>
            </w:r>
            <w:r w:rsidR="002051D5">
              <w:rPr>
                <w:noProof/>
                <w:webHidden/>
              </w:rPr>
              <w:fldChar w:fldCharType="end"/>
            </w:r>
          </w:hyperlink>
        </w:p>
        <w:p w14:paraId="0735E8C9" w14:textId="4265EA75"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54" w:history="1">
            <w:r w:rsidR="002051D5" w:rsidRPr="0003018C">
              <w:rPr>
                <w:rStyle w:val="Hyperlink"/>
                <w:noProof/>
              </w:rPr>
              <w:t>Izmaiņas Manipulāciju sarakstā no 01.01.2019</w:t>
            </w:r>
            <w:r w:rsidR="002051D5">
              <w:rPr>
                <w:noProof/>
                <w:webHidden/>
              </w:rPr>
              <w:tab/>
            </w:r>
            <w:r w:rsidR="002051D5">
              <w:rPr>
                <w:noProof/>
                <w:webHidden/>
              </w:rPr>
              <w:fldChar w:fldCharType="begin"/>
            </w:r>
            <w:r w:rsidR="002051D5">
              <w:rPr>
                <w:noProof/>
                <w:webHidden/>
              </w:rPr>
              <w:instrText xml:space="preserve"> PAGEREF _Toc72416654 \h </w:instrText>
            </w:r>
            <w:r w:rsidR="002051D5">
              <w:rPr>
                <w:noProof/>
                <w:webHidden/>
              </w:rPr>
            </w:r>
            <w:r w:rsidR="002051D5">
              <w:rPr>
                <w:noProof/>
                <w:webHidden/>
              </w:rPr>
              <w:fldChar w:fldCharType="separate"/>
            </w:r>
            <w:r w:rsidR="0061349A">
              <w:rPr>
                <w:noProof/>
                <w:webHidden/>
              </w:rPr>
              <w:t>246</w:t>
            </w:r>
            <w:r w:rsidR="002051D5">
              <w:rPr>
                <w:noProof/>
                <w:webHidden/>
              </w:rPr>
              <w:fldChar w:fldCharType="end"/>
            </w:r>
          </w:hyperlink>
        </w:p>
        <w:p w14:paraId="3A302B81" w14:textId="6B850C03"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55" w:history="1">
            <w:r w:rsidR="002051D5" w:rsidRPr="0003018C">
              <w:rPr>
                <w:rStyle w:val="Hyperlink"/>
                <w:noProof/>
              </w:rPr>
              <w:t>Izmaiņas Manipulāciju sarakstā no 23.10.2018</w:t>
            </w:r>
            <w:r w:rsidR="002051D5">
              <w:rPr>
                <w:noProof/>
                <w:webHidden/>
              </w:rPr>
              <w:tab/>
            </w:r>
            <w:r w:rsidR="002051D5">
              <w:rPr>
                <w:noProof/>
                <w:webHidden/>
              </w:rPr>
              <w:fldChar w:fldCharType="begin"/>
            </w:r>
            <w:r w:rsidR="002051D5">
              <w:rPr>
                <w:noProof/>
                <w:webHidden/>
              </w:rPr>
              <w:instrText xml:space="preserve"> PAGEREF _Toc72416655 \h </w:instrText>
            </w:r>
            <w:r w:rsidR="002051D5">
              <w:rPr>
                <w:noProof/>
                <w:webHidden/>
              </w:rPr>
            </w:r>
            <w:r w:rsidR="002051D5">
              <w:rPr>
                <w:noProof/>
                <w:webHidden/>
              </w:rPr>
              <w:fldChar w:fldCharType="separate"/>
            </w:r>
            <w:r w:rsidR="0061349A">
              <w:rPr>
                <w:noProof/>
                <w:webHidden/>
              </w:rPr>
              <w:t>252</w:t>
            </w:r>
            <w:r w:rsidR="002051D5">
              <w:rPr>
                <w:noProof/>
                <w:webHidden/>
              </w:rPr>
              <w:fldChar w:fldCharType="end"/>
            </w:r>
          </w:hyperlink>
        </w:p>
        <w:p w14:paraId="6501CE73" w14:textId="04E9BE3F" w:rsidR="002051D5" w:rsidRDefault="008A7000">
          <w:pPr>
            <w:pStyle w:val="TOC1"/>
            <w:tabs>
              <w:tab w:val="right" w:leader="dot" w:pos="8860"/>
            </w:tabs>
            <w:rPr>
              <w:rFonts w:asciiTheme="minorHAnsi" w:eastAsiaTheme="minorEastAsia" w:hAnsiTheme="minorHAnsi" w:cstheme="minorBidi"/>
              <w:noProof/>
              <w:sz w:val="22"/>
              <w:szCs w:val="22"/>
              <w:lang w:eastAsia="lv-LV"/>
            </w:rPr>
          </w:pPr>
          <w:hyperlink w:anchor="_Toc72416656" w:history="1">
            <w:r w:rsidR="002051D5" w:rsidRPr="0003018C">
              <w:rPr>
                <w:rStyle w:val="Hyperlink"/>
                <w:noProof/>
              </w:rPr>
              <w:t>Izmaiņas Manipulāciju sarakstā no 01.09.2018</w:t>
            </w:r>
            <w:r w:rsidR="002051D5">
              <w:rPr>
                <w:noProof/>
                <w:webHidden/>
              </w:rPr>
              <w:tab/>
            </w:r>
            <w:r w:rsidR="002051D5">
              <w:rPr>
                <w:noProof/>
                <w:webHidden/>
              </w:rPr>
              <w:fldChar w:fldCharType="begin"/>
            </w:r>
            <w:r w:rsidR="002051D5">
              <w:rPr>
                <w:noProof/>
                <w:webHidden/>
              </w:rPr>
              <w:instrText xml:space="preserve"> PAGEREF _Toc72416656 \h </w:instrText>
            </w:r>
            <w:r w:rsidR="002051D5">
              <w:rPr>
                <w:noProof/>
                <w:webHidden/>
              </w:rPr>
            </w:r>
            <w:r w:rsidR="002051D5">
              <w:rPr>
                <w:noProof/>
                <w:webHidden/>
              </w:rPr>
              <w:fldChar w:fldCharType="separate"/>
            </w:r>
            <w:r w:rsidR="0061349A">
              <w:rPr>
                <w:noProof/>
                <w:webHidden/>
              </w:rPr>
              <w:t>256</w:t>
            </w:r>
            <w:r w:rsidR="002051D5">
              <w:rPr>
                <w:noProof/>
                <w:webHidden/>
              </w:rPr>
              <w:fldChar w:fldCharType="end"/>
            </w:r>
          </w:hyperlink>
        </w:p>
        <w:p w14:paraId="34223FA2" w14:textId="115A02C6"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74A12E62" w14:textId="264E2C20" w:rsidR="00B00D7E" w:rsidRPr="00B00D7E" w:rsidRDefault="00B00D7E" w:rsidP="00B00D7E">
      <w:pPr>
        <w:pStyle w:val="Heading1"/>
      </w:pPr>
      <w:bookmarkStart w:id="0" w:name="_Toc72416639"/>
      <w:bookmarkStart w:id="1" w:name="_Hlk67575057"/>
      <w:r w:rsidRPr="00B00D7E">
        <w:lastRenderedPageBreak/>
        <w:t>Izmaiņas Manipulāciju sarakstā ar 01.0</w:t>
      </w:r>
      <w:r>
        <w:t>6</w:t>
      </w:r>
      <w:r w:rsidRPr="00B00D7E">
        <w:t>.2021.</w:t>
      </w:r>
      <w:bookmarkEnd w:id="0"/>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76630F"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77777777" w:rsidR="00B00D7E" w:rsidRPr="00B00D7E" w:rsidRDefault="00B00D7E" w:rsidP="00B00D7E">
            <w:pPr>
              <w:widowControl/>
              <w:autoSpaceDE/>
              <w:autoSpaceDN/>
              <w:jc w:val="center"/>
              <w:rPr>
                <w:color w:val="FF0000"/>
                <w:sz w:val="20"/>
                <w:szCs w:val="20"/>
                <w:lang w:eastAsia="lv-LV"/>
              </w:rPr>
            </w:pPr>
            <w:r w:rsidRPr="00B00D7E">
              <w:rPr>
                <w:color w:val="FF0000"/>
                <w:sz w:val="20"/>
                <w:szCs w:val="20"/>
                <w:lang w:eastAsia="lv-LV"/>
              </w:rPr>
              <w:t>JAUNA</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B00D7E" w:rsidRPr="00B00D7E" w:rsidRDefault="00B00D7E" w:rsidP="00B00D7E">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B00D7E" w:rsidRPr="00B00D7E" w:rsidRDefault="00B00D7E" w:rsidP="00B00D7E">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B00D7E" w:rsidRPr="00B00D7E" w:rsidRDefault="00B00D7E" w:rsidP="00B00D7E">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76630F"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7777777" w:rsidR="00B00D7E" w:rsidRPr="00B00D7E" w:rsidRDefault="00B00D7E" w:rsidP="00B00D7E">
            <w:pPr>
              <w:widowControl/>
              <w:autoSpaceDE/>
              <w:autoSpaceDN/>
              <w:jc w:val="center"/>
              <w:rPr>
                <w:color w:val="FF0000"/>
                <w:sz w:val="20"/>
                <w:szCs w:val="20"/>
                <w:lang w:eastAsia="lv-LV"/>
              </w:rPr>
            </w:pPr>
            <w:r w:rsidRPr="00B00D7E">
              <w:rPr>
                <w:color w:val="FF0000"/>
                <w:sz w:val="20"/>
                <w:szCs w:val="20"/>
                <w:lang w:eastAsia="lv-LV"/>
              </w:rPr>
              <w:t>JAUNA</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B00D7E" w:rsidRPr="00B00D7E" w:rsidRDefault="00B00D7E" w:rsidP="00B00D7E">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B00D7E" w:rsidRPr="00B00D7E" w:rsidRDefault="00B00D7E" w:rsidP="00B00D7E">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76630F"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77777777" w:rsidR="00B00D7E" w:rsidRPr="00B00D7E" w:rsidRDefault="00B00D7E" w:rsidP="00B00D7E">
            <w:pPr>
              <w:widowControl/>
              <w:autoSpaceDE/>
              <w:autoSpaceDN/>
              <w:jc w:val="center"/>
              <w:rPr>
                <w:color w:val="FF0000"/>
                <w:sz w:val="20"/>
                <w:szCs w:val="20"/>
                <w:lang w:eastAsia="lv-LV"/>
              </w:rPr>
            </w:pPr>
            <w:r w:rsidRPr="00B00D7E">
              <w:rPr>
                <w:color w:val="FF0000"/>
                <w:sz w:val="20"/>
                <w:szCs w:val="20"/>
                <w:lang w:eastAsia="lv-LV"/>
              </w:rPr>
              <w:t>JAUNA</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B00D7E" w:rsidRPr="00B00D7E" w:rsidRDefault="00B00D7E" w:rsidP="00B00D7E">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B00D7E" w:rsidRPr="00B00D7E" w:rsidRDefault="00B00D7E" w:rsidP="00B00D7E">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B00D7E" w:rsidRPr="00B00D7E" w:rsidRDefault="00B00D7E" w:rsidP="00B00D7E">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2051D5"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2051D5" w:rsidRPr="002051D5" w:rsidRDefault="002051D5" w:rsidP="002051D5">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13E338B7" w:rsidR="002051D5" w:rsidRPr="002051D5" w:rsidRDefault="002051D5" w:rsidP="002051D5">
            <w:pPr>
              <w:widowControl/>
              <w:autoSpaceDE/>
              <w:autoSpaceDN/>
              <w:jc w:val="center"/>
              <w:rPr>
                <w:color w:val="FF0000"/>
                <w:sz w:val="20"/>
                <w:szCs w:val="20"/>
                <w:lang w:eastAsia="lv-LV"/>
              </w:rPr>
            </w:pPr>
            <w:r w:rsidRPr="002051D5">
              <w:rPr>
                <w:color w:val="FF0000"/>
                <w:sz w:val="20"/>
                <w:szCs w:val="20"/>
              </w:rPr>
              <w:t>JAUNA</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2051D5" w:rsidRPr="002051D5" w:rsidRDefault="002051D5" w:rsidP="002051D5">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2051D5" w:rsidRPr="002051D5" w:rsidRDefault="002051D5" w:rsidP="002051D5">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2051D5" w:rsidRPr="002051D5" w:rsidRDefault="002051D5" w:rsidP="002051D5">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2051D5" w:rsidRPr="002051D5" w:rsidRDefault="002051D5" w:rsidP="002051D5">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2051D5" w:rsidRPr="002051D5" w:rsidRDefault="002051D5" w:rsidP="002051D5">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2051D5" w:rsidRPr="002051D5" w:rsidRDefault="002051D5" w:rsidP="002051D5">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2051D5" w:rsidRPr="002051D5" w:rsidRDefault="002051D5" w:rsidP="002051D5">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2051D5" w:rsidRPr="002051D5" w:rsidRDefault="002051D5" w:rsidP="002051D5">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2051D5" w:rsidRPr="002051D5" w:rsidRDefault="002051D5" w:rsidP="002051D5">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2051D5" w:rsidRPr="002051D5" w:rsidRDefault="002051D5" w:rsidP="002051D5">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76630F"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77777777" w:rsidR="00B00D7E" w:rsidRPr="00B00D7E" w:rsidRDefault="00B00D7E" w:rsidP="00B00D7E">
            <w:pPr>
              <w:widowControl/>
              <w:autoSpaceDE/>
              <w:autoSpaceDN/>
              <w:jc w:val="center"/>
              <w:rPr>
                <w:color w:val="FF0000"/>
                <w:sz w:val="20"/>
                <w:szCs w:val="20"/>
                <w:lang w:eastAsia="lv-LV"/>
              </w:rPr>
            </w:pPr>
            <w:r w:rsidRPr="00B00D7E">
              <w:rPr>
                <w:color w:val="FF0000"/>
                <w:sz w:val="20"/>
                <w:szCs w:val="20"/>
                <w:lang w:eastAsia="lv-LV"/>
              </w:rPr>
              <w:t>JAUNA</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B00D7E" w:rsidRPr="00B00D7E" w:rsidRDefault="00B00D7E" w:rsidP="00B00D7E">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B00D7E" w:rsidRPr="00B00D7E" w:rsidRDefault="00B00D7E" w:rsidP="00B00D7E">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76630F"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77777777" w:rsidR="00B00D7E" w:rsidRPr="00B00D7E" w:rsidRDefault="00B00D7E" w:rsidP="00B00D7E">
            <w:pPr>
              <w:widowControl/>
              <w:autoSpaceDE/>
              <w:autoSpaceDN/>
              <w:jc w:val="center"/>
              <w:rPr>
                <w:color w:val="FF0000"/>
                <w:sz w:val="20"/>
                <w:szCs w:val="20"/>
                <w:lang w:eastAsia="lv-LV"/>
              </w:rPr>
            </w:pPr>
            <w:r w:rsidRPr="00B00D7E">
              <w:rPr>
                <w:color w:val="FF0000"/>
                <w:sz w:val="20"/>
                <w:szCs w:val="20"/>
                <w:lang w:eastAsia="lv-LV"/>
              </w:rPr>
              <w:t>JAUNA</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B00D7E" w:rsidRPr="00B00D7E" w:rsidRDefault="00B00D7E" w:rsidP="00B00D7E">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B00D7E" w:rsidRPr="00B00D7E" w:rsidRDefault="00B00D7E" w:rsidP="00B00D7E">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76630F"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77777777" w:rsidR="00B00D7E" w:rsidRPr="00B00D7E" w:rsidRDefault="00B00D7E" w:rsidP="00B00D7E">
            <w:pPr>
              <w:widowControl/>
              <w:autoSpaceDE/>
              <w:autoSpaceDN/>
              <w:jc w:val="center"/>
              <w:rPr>
                <w:color w:val="FF0000"/>
                <w:sz w:val="20"/>
                <w:szCs w:val="20"/>
                <w:lang w:eastAsia="lv-LV"/>
              </w:rPr>
            </w:pPr>
            <w:r w:rsidRPr="00B00D7E">
              <w:rPr>
                <w:color w:val="FF0000"/>
                <w:sz w:val="20"/>
                <w:szCs w:val="20"/>
                <w:lang w:eastAsia="lv-LV"/>
              </w:rPr>
              <w:t>JAUNA</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B00D7E" w:rsidRPr="00B00D7E" w:rsidRDefault="00B00D7E" w:rsidP="00B00D7E">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B00D7E" w:rsidRPr="00B00D7E" w:rsidRDefault="00B00D7E" w:rsidP="00B00D7E">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76630F"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77777777" w:rsidR="00B00D7E" w:rsidRPr="00B00D7E" w:rsidRDefault="00B00D7E" w:rsidP="00B00D7E">
            <w:pPr>
              <w:widowControl/>
              <w:autoSpaceDE/>
              <w:autoSpaceDN/>
              <w:jc w:val="center"/>
              <w:rPr>
                <w:color w:val="FF0000"/>
                <w:sz w:val="20"/>
                <w:szCs w:val="20"/>
                <w:lang w:eastAsia="lv-LV"/>
              </w:rPr>
            </w:pPr>
            <w:r w:rsidRPr="00B00D7E">
              <w:rPr>
                <w:color w:val="FF0000"/>
                <w:sz w:val="20"/>
                <w:szCs w:val="20"/>
                <w:lang w:eastAsia="lv-LV"/>
              </w:rPr>
              <w:t>JAUNA</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B00D7E" w:rsidRPr="00B00D7E" w:rsidRDefault="00B00D7E" w:rsidP="00B00D7E">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B00D7E" w:rsidRPr="00B00D7E" w:rsidRDefault="00B00D7E" w:rsidP="00B00D7E">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76630F"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77777777" w:rsidR="00B00D7E" w:rsidRPr="00B00D7E" w:rsidRDefault="00B00D7E" w:rsidP="00B00D7E">
            <w:pPr>
              <w:widowControl/>
              <w:autoSpaceDE/>
              <w:autoSpaceDN/>
              <w:jc w:val="center"/>
              <w:rPr>
                <w:color w:val="000000"/>
                <w:sz w:val="20"/>
                <w:szCs w:val="20"/>
                <w:lang w:eastAsia="lv-LV"/>
              </w:rPr>
            </w:pPr>
            <w:r w:rsidRPr="00B00D7E">
              <w:rPr>
                <w:color w:val="000000"/>
                <w:sz w:val="20"/>
                <w:szCs w:val="20"/>
                <w:lang w:eastAsia="lv-LV"/>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B00D7E" w:rsidRPr="00B00D7E" w:rsidRDefault="00B00D7E" w:rsidP="00B00D7E">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77777777" w:rsidR="00B00D7E" w:rsidRPr="00B00D7E" w:rsidRDefault="00B00D7E" w:rsidP="00B00D7E">
            <w:pPr>
              <w:widowControl/>
              <w:autoSpaceDE/>
              <w:autoSpaceDN/>
              <w:rPr>
                <w:sz w:val="20"/>
                <w:szCs w:val="20"/>
                <w:lang w:eastAsia="lv-LV"/>
              </w:rPr>
            </w:pPr>
            <w:r w:rsidRPr="00B00D7E">
              <w:rPr>
                <w:sz w:val="20"/>
                <w:szCs w:val="20"/>
                <w:lang w:eastAsia="lv-LV"/>
              </w:rPr>
              <w:t>Saistībā ar izmaiņām HPV noteikšanas vadlīnijām tiek veidota jauna manipulācija (</w:t>
            </w:r>
            <w:proofErr w:type="spellStart"/>
            <w:r w:rsidRPr="00B00D7E">
              <w:rPr>
                <w:sz w:val="20"/>
                <w:szCs w:val="20"/>
                <w:lang w:eastAsia="lv-LV"/>
              </w:rPr>
              <w:t>xxxxx</w:t>
            </w:r>
            <w:proofErr w:type="spellEnd"/>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76630F"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B00D7E" w:rsidRPr="00B00D7E" w:rsidRDefault="00B00D7E" w:rsidP="00B00D7E">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77777777" w:rsidR="00B00D7E" w:rsidRPr="00B00D7E" w:rsidRDefault="00B00D7E" w:rsidP="00B00D7E">
            <w:pPr>
              <w:widowControl/>
              <w:autoSpaceDE/>
              <w:autoSpaceDN/>
              <w:jc w:val="center"/>
              <w:rPr>
                <w:color w:val="FF0000"/>
                <w:sz w:val="20"/>
                <w:szCs w:val="20"/>
                <w:lang w:eastAsia="lv-LV"/>
              </w:rPr>
            </w:pPr>
            <w:r w:rsidRPr="00B00D7E">
              <w:rPr>
                <w:color w:val="FF0000"/>
                <w:sz w:val="20"/>
                <w:szCs w:val="20"/>
                <w:lang w:eastAsia="lv-LV"/>
              </w:rPr>
              <w:t>JAUNA</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B00D7E" w:rsidRPr="00B00D7E" w:rsidRDefault="00B00D7E" w:rsidP="00B00D7E">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B00D7E" w:rsidRPr="00B00D7E" w:rsidRDefault="00B00D7E" w:rsidP="00B00D7E">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B00D7E" w:rsidRPr="00B00D7E" w:rsidRDefault="00B00D7E" w:rsidP="00B00D7E">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B00D7E" w:rsidRPr="00B00D7E" w:rsidRDefault="00B00D7E" w:rsidP="00B00D7E">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B00D7E" w:rsidRPr="00B00D7E" w:rsidRDefault="00B00D7E" w:rsidP="00B00D7E">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B00D7E" w:rsidRPr="00B00D7E" w:rsidRDefault="00B00D7E" w:rsidP="00B00D7E">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B00D7E" w:rsidRPr="00B00D7E" w:rsidRDefault="00B00D7E" w:rsidP="00B00D7E">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B00D7E" w:rsidRPr="00B00D7E" w:rsidRDefault="00B00D7E" w:rsidP="00B00D7E">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B00D7E" w:rsidRPr="00B00D7E" w:rsidRDefault="00B00D7E" w:rsidP="00B00D7E">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B00D7E" w:rsidRPr="00B00D7E" w:rsidRDefault="00B00D7E" w:rsidP="00B00D7E">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3895F335" w:rsidR="001910DF" w:rsidRDefault="001910DF" w:rsidP="001910DF">
      <w:pPr>
        <w:pStyle w:val="Heading1"/>
      </w:pPr>
      <w:bookmarkStart w:id="2" w:name="_Toc72416640"/>
      <w:r>
        <w:t xml:space="preserve">Izmaiņas </w:t>
      </w:r>
      <w:r w:rsidRPr="0047385B">
        <w:t>Manipulāciju sarakst</w:t>
      </w:r>
      <w:r>
        <w:t>ā</w:t>
      </w:r>
      <w:r w:rsidRPr="0047385B">
        <w:t xml:space="preserve"> ar </w:t>
      </w:r>
      <w:r>
        <w:t>01.05</w:t>
      </w:r>
      <w:r w:rsidRPr="0047385B">
        <w:t>.2021.</w:t>
      </w:r>
      <w:bookmarkEnd w:id="2"/>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3"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4D5BEC6" w14:textId="727C20C2" w:rsidR="00F22798" w:rsidRP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77777777" w:rsidR="000A758C" w:rsidRDefault="000A758C"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3"/>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7F5D9FA0" w:rsidR="001D183E" w:rsidRDefault="001D183E" w:rsidP="001D183E">
      <w:pPr>
        <w:pStyle w:val="Heading1"/>
      </w:pPr>
      <w:bookmarkStart w:id="4" w:name="_Toc72416641"/>
      <w:r>
        <w:lastRenderedPageBreak/>
        <w:t>Izmaiņas M</w:t>
      </w:r>
      <w:r w:rsidRPr="0047385B">
        <w:t>anipulāciju sarak</w:t>
      </w:r>
      <w:r>
        <w:t xml:space="preserve">stā </w:t>
      </w:r>
      <w:r w:rsidRPr="0047385B">
        <w:t>ar 22.02.2021.</w:t>
      </w:r>
      <w:bookmarkEnd w:id="4"/>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5"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5"/>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68121FB7" w:rsidR="00C64471" w:rsidRDefault="00C64471" w:rsidP="00C64471">
      <w:pPr>
        <w:pStyle w:val="Heading1"/>
      </w:pPr>
      <w:bookmarkStart w:id="6" w:name="_Toc72416642"/>
      <w:r w:rsidRPr="00C64471">
        <w:t>Izmaiņas Manipulāciju sarakstā no 19.04.2021</w:t>
      </w:r>
      <w:r>
        <w:t>.</w:t>
      </w:r>
      <w:bookmarkEnd w:id="6"/>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7" w:name="_Toc72416643"/>
      <w:bookmarkStart w:id="8" w:name="_Hlk69472003"/>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7"/>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9"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9"/>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0"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0"/>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8"/>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11" w:name="_Toc72416644"/>
      <w:r>
        <w:t>Izmaiņas Manipulāciju sarakstā no</w:t>
      </w:r>
      <w:r w:rsidRPr="00313352">
        <w:t xml:space="preserve"> 01.01.2021.</w:t>
      </w:r>
      <w:bookmarkEnd w:id="11"/>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12" w:name="_Toc72416645"/>
      <w:r w:rsidRPr="00525897">
        <w:lastRenderedPageBreak/>
        <w:t>Izmaiņas Manipulāciju sarakstā no 01.10.2020</w:t>
      </w:r>
      <w:bookmarkEnd w:id="12"/>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13" w:name="_Toc72416646"/>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3"/>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14" w:name="_Toc72416647"/>
      <w:r w:rsidRPr="00084AE1">
        <w:lastRenderedPageBreak/>
        <w:t>Izmaiņas Manipulāciju sarakstā no 01.04.2020</w:t>
      </w:r>
      <w:bookmarkEnd w:id="14"/>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15" w:name="_Toc72416648"/>
      <w:r>
        <w:lastRenderedPageBreak/>
        <w:t>Izmaiņas Manipulāciju sarakstā no 01.01.2020.</w:t>
      </w:r>
      <w:bookmarkEnd w:id="15"/>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6" w:name="_Toc72416649"/>
      <w:r>
        <w:lastRenderedPageBreak/>
        <w:t>Izmaiņas Manipulāciju sarakstā no 01.10.2019</w:t>
      </w:r>
      <w:bookmarkEnd w:id="16"/>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7" w:name="_Toc72416650"/>
      <w:r>
        <w:lastRenderedPageBreak/>
        <w:t>Izmaiņas Manipulāciju sarakstā no 12.08.2019</w:t>
      </w:r>
      <w:bookmarkEnd w:id="17"/>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18" w:name="_Toc72416651"/>
      <w:r>
        <w:lastRenderedPageBreak/>
        <w:t>Izmaiņas Manipulāciju sarakstā no 12.04.2019</w:t>
      </w:r>
      <w:bookmarkEnd w:id="18"/>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19" w:name="_Toc72416652"/>
      <w:r>
        <w:lastRenderedPageBreak/>
        <w:t>Izmaiņas Manipulāciju sarakstā no 01.04.2019</w:t>
      </w:r>
      <w:bookmarkEnd w:id="19"/>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20" w:name="_Toc72416653"/>
      <w:r>
        <w:lastRenderedPageBreak/>
        <w:t>Izmaiņas Manipulāciju sarakstā no 11.02.2019</w:t>
      </w:r>
      <w:bookmarkEnd w:id="20"/>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21" w:name="_Toc72416654"/>
      <w:r>
        <w:lastRenderedPageBreak/>
        <w:t>Izmaiņas Manipulāciju sarakstā no 01.01.2019</w:t>
      </w:r>
      <w:bookmarkEnd w:id="21"/>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22" w:name="_Toc72416655"/>
      <w:r>
        <w:lastRenderedPageBreak/>
        <w:t>Izmaiņas Manipulāciju sarakstā no 23.10.2018</w:t>
      </w:r>
      <w:bookmarkEnd w:id="22"/>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3" w:name="_Toc72416656"/>
      <w:r>
        <w:lastRenderedPageBreak/>
        <w:t>Izmaiņas Manipulāciju sarakstā no 01.09.2018</w:t>
      </w:r>
      <w:bookmarkEnd w:id="23"/>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0"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2"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3"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1"/>
  </w:num>
  <w:num w:numId="5">
    <w:abstractNumId w:val="22"/>
  </w:num>
  <w:num w:numId="6">
    <w:abstractNumId w:val="19"/>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14"/>
  </w:num>
  <w:num w:numId="17">
    <w:abstractNumId w:val="4"/>
  </w:num>
  <w:num w:numId="18">
    <w:abstractNumId w:val="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A758C"/>
    <w:rsid w:val="000B04CD"/>
    <w:rsid w:val="000B11EA"/>
    <w:rsid w:val="000B37BD"/>
    <w:rsid w:val="000C055C"/>
    <w:rsid w:val="000C61D3"/>
    <w:rsid w:val="000D3DE1"/>
    <w:rsid w:val="000D64AD"/>
    <w:rsid w:val="000D705F"/>
    <w:rsid w:val="000D76A4"/>
    <w:rsid w:val="000D7A35"/>
    <w:rsid w:val="000E2538"/>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3123F6"/>
    <w:rsid w:val="00314A36"/>
    <w:rsid w:val="00316767"/>
    <w:rsid w:val="003272A6"/>
    <w:rsid w:val="00332595"/>
    <w:rsid w:val="003352D0"/>
    <w:rsid w:val="00342C22"/>
    <w:rsid w:val="00363973"/>
    <w:rsid w:val="003A0CEF"/>
    <w:rsid w:val="003A329E"/>
    <w:rsid w:val="003A5EC5"/>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349A"/>
    <w:rsid w:val="006155B3"/>
    <w:rsid w:val="00615989"/>
    <w:rsid w:val="0062076F"/>
    <w:rsid w:val="00624BFD"/>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6630F"/>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A1D8C"/>
    <w:rsid w:val="009A615A"/>
    <w:rsid w:val="009A7E8F"/>
    <w:rsid w:val="009C1A10"/>
    <w:rsid w:val="009C1DF0"/>
    <w:rsid w:val="009C5D16"/>
    <w:rsid w:val="009E097A"/>
    <w:rsid w:val="009E3619"/>
    <w:rsid w:val="009E6558"/>
    <w:rsid w:val="009F2A39"/>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42F9E"/>
    <w:rsid w:val="00B50780"/>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4C4D"/>
    <w:rsid w:val="00CF13A4"/>
    <w:rsid w:val="00D03769"/>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152C3"/>
    <w:rsid w:val="00F1609D"/>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650D"/>
    <w:rsid w:val="00FB7E1F"/>
    <w:rsid w:val="00FC2D2D"/>
    <w:rsid w:val="00FC3F89"/>
    <w:rsid w:val="00FC40C7"/>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260</Pages>
  <Words>309686</Words>
  <Characters>176521</Characters>
  <Application>Microsoft Office Word</Application>
  <DocSecurity>0</DocSecurity>
  <Lines>1471</Lines>
  <Paragraphs>970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485237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13</cp:revision>
  <cp:lastPrinted>2021-05-21T07:30:00Z</cp:lastPrinted>
  <dcterms:created xsi:type="dcterms:W3CDTF">2021-05-08T08:56:00Z</dcterms:created>
  <dcterms:modified xsi:type="dcterms:W3CDTF">2021-05-21T09:47:00Z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