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0B60E34" w:rsidR="002C35F4" w:rsidRDefault="003E3B83" w:rsidP="002C35F4">
      <w:pPr>
        <w:spacing w:after="0" w:line="240" w:lineRule="auto"/>
        <w:rPr>
          <w:b/>
          <w:bCs/>
        </w:rPr>
      </w:pPr>
      <w:r>
        <w:rPr>
          <w:b/>
          <w:bCs/>
        </w:rPr>
        <w:t>1</w:t>
      </w:r>
      <w:r w:rsidR="00AE4F9D">
        <w:rPr>
          <w:b/>
          <w:bCs/>
        </w:rPr>
        <w:t>7</w:t>
      </w:r>
      <w:r w:rsidR="00A80153">
        <w:rPr>
          <w:b/>
          <w:bCs/>
        </w:rPr>
        <w:t>.05.2021</w:t>
      </w:r>
    </w:p>
    <w:p w14:paraId="249AF77A" w14:textId="77777777" w:rsidR="00F51696" w:rsidRPr="00F51696" w:rsidRDefault="00F51696" w:rsidP="00F51696">
      <w:pPr>
        <w:spacing w:after="0" w:line="240" w:lineRule="auto"/>
        <w:rPr>
          <w:rFonts w:cstheme="minorHAnsi"/>
          <w:b/>
          <w:bCs/>
        </w:rPr>
      </w:pPr>
      <w:r w:rsidRPr="00F51696">
        <w:rPr>
          <w:rFonts w:cstheme="minorHAnsi"/>
          <w:b/>
          <w:bCs/>
        </w:rPr>
        <w:t>E pasta nosaukums</w:t>
      </w:r>
    </w:p>
    <w:p w14:paraId="7F4A8878" w14:textId="03B8C41B" w:rsidR="003E3B83" w:rsidRDefault="00AE4F9D" w:rsidP="00A80153">
      <w:pPr>
        <w:spacing w:after="0" w:line="240" w:lineRule="auto"/>
      </w:pPr>
      <w:r w:rsidRPr="00AE4F9D">
        <w:t>Par revakcinācijas organizēšanu</w:t>
      </w:r>
    </w:p>
    <w:p w14:paraId="6247FD9F" w14:textId="77777777" w:rsidR="00AE4F9D" w:rsidRDefault="00AE4F9D" w:rsidP="00A80153">
      <w:pPr>
        <w:spacing w:after="0" w:line="240" w:lineRule="auto"/>
      </w:pPr>
    </w:p>
    <w:p w14:paraId="4F2014A6" w14:textId="56671E07" w:rsidR="00A80153" w:rsidRPr="00A80153" w:rsidRDefault="00A80153" w:rsidP="00A80153">
      <w:pPr>
        <w:spacing w:after="0" w:line="240" w:lineRule="auto"/>
        <w:rPr>
          <w:rFonts w:cstheme="minorHAnsi"/>
          <w:b/>
          <w:bCs/>
        </w:rPr>
      </w:pPr>
      <w:r w:rsidRPr="00A80153">
        <w:rPr>
          <w:rFonts w:cstheme="minorHAnsi"/>
          <w:b/>
          <w:bCs/>
        </w:rPr>
        <w:t>E pasta teksts</w:t>
      </w:r>
    </w:p>
    <w:p w14:paraId="0E2D5E25" w14:textId="77777777" w:rsidR="00AE4F9D" w:rsidRPr="009D6094" w:rsidRDefault="00AE4F9D" w:rsidP="009D6094">
      <w:pPr>
        <w:jc w:val="both"/>
        <w:rPr>
          <w:rFonts w:cstheme="minorHAnsi"/>
        </w:rPr>
      </w:pPr>
      <w:r w:rsidRPr="009D6094">
        <w:rPr>
          <w:rFonts w:cstheme="minorHAnsi"/>
        </w:rPr>
        <w:t>Nacionālais veselības dienests aicina pārdomāti organizēt personu revakcināciju, ņemot vērā:</w:t>
      </w:r>
    </w:p>
    <w:p w14:paraId="7D8160A5" w14:textId="77777777" w:rsidR="00AE4F9D" w:rsidRPr="009D6094" w:rsidRDefault="00AE4F9D" w:rsidP="009D6094">
      <w:pPr>
        <w:pStyle w:val="ListParagraph"/>
        <w:numPr>
          <w:ilvl w:val="0"/>
          <w:numId w:val="3"/>
        </w:numPr>
        <w:spacing w:after="200" w:line="276" w:lineRule="auto"/>
        <w:jc w:val="both"/>
        <w:rPr>
          <w:rFonts w:eastAsia="Times New Roman"/>
        </w:rPr>
      </w:pPr>
      <w:r w:rsidRPr="009D6094">
        <w:rPr>
          <w:rFonts w:eastAsia="Times New Roman"/>
        </w:rPr>
        <w:t>Personām, kurām uzsākta vakcinācija ar viena ražotāja vakcīnu, kurss ir jāpabeidz ar to pašu produktu. Drošums un efektivitāte savstarpēji dažādu jauktu vakcīnu devu gadījumā vairākās valstīs tiek izvērtēti, taču to rezultāti vēl nav zināmi un pieejami. (vakcinācijas rokasgrāmata 10 lapa);</w:t>
      </w:r>
    </w:p>
    <w:p w14:paraId="6765846A" w14:textId="77777777" w:rsidR="00AE4F9D" w:rsidRPr="009D6094" w:rsidRDefault="00AE4F9D" w:rsidP="009D6094">
      <w:pPr>
        <w:jc w:val="both"/>
        <w:rPr>
          <w:rFonts w:ascii="Calibri" w:hAnsi="Calibri" w:cs="Calibri"/>
        </w:rPr>
      </w:pPr>
      <w:r w:rsidRPr="009D6094">
        <w:rPr>
          <w:rFonts w:ascii="Calibri" w:hAnsi="Calibri" w:cs="Calibri"/>
        </w:rPr>
        <w:t xml:space="preserve">Pirms otrās devas veikšanas pārliecinieties, ka pirmā deva ir veikta ar tā paša ražotāja vakcīnu, ar kuru plānots vakcinēt otrajā reizē. </w:t>
      </w:r>
    </w:p>
    <w:p w14:paraId="5641D080" w14:textId="77777777" w:rsidR="00AE4F9D" w:rsidRPr="009D6094" w:rsidRDefault="00AE4F9D" w:rsidP="009D6094">
      <w:pPr>
        <w:jc w:val="both"/>
        <w:rPr>
          <w:rFonts w:ascii="Calibri" w:hAnsi="Calibri" w:cs="Calibri"/>
        </w:rPr>
      </w:pPr>
      <w:r w:rsidRPr="009D6094">
        <w:rPr>
          <w:rFonts w:ascii="Calibri" w:hAnsi="Calibri" w:cs="Calibri"/>
          <w:i/>
          <w:iCs/>
        </w:rPr>
        <w:t>Izņēmumi</w:t>
      </w:r>
      <w:r w:rsidRPr="009D6094">
        <w:rPr>
          <w:rFonts w:ascii="Calibri" w:hAnsi="Calibri" w:cs="Calibri"/>
        </w:rPr>
        <w:t>, kad otrai vakcīnas pret Covid-19 devai var tikt izmantota citas tehnoloģijas vakcīna pret Covid-19 ir:</w:t>
      </w:r>
    </w:p>
    <w:p w14:paraId="35E8B56A" w14:textId="77777777" w:rsidR="00AE4F9D" w:rsidRPr="009D6094" w:rsidRDefault="00AE4F9D" w:rsidP="009D6094">
      <w:pPr>
        <w:pStyle w:val="ListParagraph"/>
        <w:numPr>
          <w:ilvl w:val="0"/>
          <w:numId w:val="4"/>
        </w:numPr>
        <w:jc w:val="both"/>
        <w:rPr>
          <w:rFonts w:eastAsia="Times New Roman"/>
        </w:rPr>
      </w:pPr>
      <w:r w:rsidRPr="009D6094">
        <w:rPr>
          <w:rFonts w:eastAsia="Times New Roman"/>
        </w:rPr>
        <w:t xml:space="preserve">Pēc pirmās devas saņemšanas personai attīstījusies </w:t>
      </w:r>
      <w:proofErr w:type="spellStart"/>
      <w:r w:rsidRPr="009D6094">
        <w:rPr>
          <w:rFonts w:eastAsia="Times New Roman"/>
        </w:rPr>
        <w:t>anafilakse</w:t>
      </w:r>
      <w:proofErr w:type="spellEnd"/>
      <w:r w:rsidRPr="009D6094">
        <w:rPr>
          <w:rFonts w:eastAsia="Times New Roman"/>
        </w:rPr>
        <w:t xml:space="preserve"> vai nopietna alerģiska reakcija, tad otrās devas nodrošināšanai jāizmanto citas tehnoloģijas vakcīnas pret Covid-19. Piemēram, </w:t>
      </w:r>
      <w:proofErr w:type="spellStart"/>
      <w:r w:rsidRPr="009D6094">
        <w:rPr>
          <w:rFonts w:eastAsia="Times New Roman"/>
        </w:rPr>
        <w:t>anafilakse</w:t>
      </w:r>
      <w:proofErr w:type="spellEnd"/>
      <w:r w:rsidRPr="009D6094">
        <w:rPr>
          <w:rFonts w:eastAsia="Times New Roman"/>
        </w:rPr>
        <w:t xml:space="preserve"> pēc vīrusa vektora vakcīnas, otrai devai izmanto </w:t>
      </w:r>
      <w:proofErr w:type="spellStart"/>
      <w:r w:rsidRPr="009D6094">
        <w:rPr>
          <w:rFonts w:eastAsia="Times New Roman"/>
        </w:rPr>
        <w:t>mRNS</w:t>
      </w:r>
      <w:proofErr w:type="spellEnd"/>
      <w:r w:rsidRPr="009D6094">
        <w:rPr>
          <w:rFonts w:eastAsia="Times New Roman"/>
        </w:rPr>
        <w:t xml:space="preserve"> vakcīnas. Un otrādi.</w:t>
      </w:r>
    </w:p>
    <w:p w14:paraId="3B846119" w14:textId="77777777" w:rsidR="00AE4F9D" w:rsidRPr="009D6094" w:rsidRDefault="00AE4F9D" w:rsidP="009D6094">
      <w:pPr>
        <w:pStyle w:val="ListParagraph"/>
        <w:numPr>
          <w:ilvl w:val="0"/>
          <w:numId w:val="5"/>
        </w:numPr>
        <w:jc w:val="both"/>
        <w:rPr>
          <w:rFonts w:eastAsia="Times New Roman"/>
        </w:rPr>
      </w:pPr>
      <w:r w:rsidRPr="009D6094">
        <w:rPr>
          <w:rFonts w:eastAsia="Times New Roman"/>
        </w:rPr>
        <w:t xml:space="preserve">Ja persona ir grūtniece un pirmā vakcīnas deva veikta ar </w:t>
      </w:r>
      <w:proofErr w:type="spellStart"/>
      <w:r w:rsidRPr="009D6094">
        <w:rPr>
          <w:rFonts w:eastAsia="Times New Roman"/>
        </w:rPr>
        <w:t>adeno</w:t>
      </w:r>
      <w:proofErr w:type="spellEnd"/>
      <w:r w:rsidRPr="009D6094">
        <w:rPr>
          <w:rFonts w:eastAsia="Times New Roman"/>
        </w:rPr>
        <w:t xml:space="preserve"> vīrusa vektora tehnoloģijas vakcīnu (</w:t>
      </w:r>
      <w:proofErr w:type="spellStart"/>
      <w:r w:rsidRPr="009D6094">
        <w:rPr>
          <w:rFonts w:eastAsia="Times New Roman"/>
          <w:i/>
          <w:iCs/>
        </w:rPr>
        <w:t>Vaxzevria</w:t>
      </w:r>
      <w:proofErr w:type="spellEnd"/>
      <w:r w:rsidRPr="009D6094">
        <w:rPr>
          <w:rFonts w:eastAsia="Times New Roman"/>
          <w:i/>
          <w:iCs/>
        </w:rPr>
        <w:t xml:space="preserve"> </w:t>
      </w:r>
      <w:r w:rsidRPr="009D6094">
        <w:rPr>
          <w:rFonts w:eastAsia="Times New Roman"/>
        </w:rPr>
        <w:t xml:space="preserve">(Astra </w:t>
      </w:r>
      <w:proofErr w:type="spellStart"/>
      <w:r w:rsidRPr="009D6094">
        <w:rPr>
          <w:rFonts w:eastAsia="Times New Roman"/>
        </w:rPr>
        <w:t>Zeneca</w:t>
      </w:r>
      <w:proofErr w:type="spellEnd"/>
      <w:r w:rsidRPr="009D6094">
        <w:rPr>
          <w:rFonts w:eastAsia="Times New Roman"/>
        </w:rPr>
        <w:t xml:space="preserve">)), tad otrai devai rekomendē izmantot </w:t>
      </w:r>
      <w:proofErr w:type="spellStart"/>
      <w:r w:rsidRPr="009D6094">
        <w:rPr>
          <w:rFonts w:eastAsia="Times New Roman"/>
        </w:rPr>
        <w:t>mRNS</w:t>
      </w:r>
      <w:proofErr w:type="spellEnd"/>
      <w:r w:rsidRPr="009D6094">
        <w:rPr>
          <w:rFonts w:eastAsia="Times New Roman"/>
        </w:rPr>
        <w:t xml:space="preserve"> vakcīnu </w:t>
      </w:r>
      <w:r w:rsidRPr="009D6094">
        <w:rPr>
          <w:rFonts w:eastAsia="Times New Roman"/>
          <w:i/>
          <w:iCs/>
        </w:rPr>
        <w:t>(</w:t>
      </w:r>
      <w:proofErr w:type="spellStart"/>
      <w:r w:rsidRPr="009D6094">
        <w:rPr>
          <w:rFonts w:eastAsia="Times New Roman"/>
          <w:i/>
          <w:iCs/>
        </w:rPr>
        <w:t>Comirnaty</w:t>
      </w:r>
      <w:proofErr w:type="spellEnd"/>
      <w:r w:rsidRPr="009D6094">
        <w:rPr>
          <w:rFonts w:eastAsia="Times New Roman"/>
          <w:i/>
          <w:iCs/>
        </w:rPr>
        <w:t xml:space="preserve"> </w:t>
      </w:r>
      <w:r w:rsidRPr="009D6094">
        <w:rPr>
          <w:rFonts w:eastAsia="Times New Roman"/>
        </w:rPr>
        <w:t xml:space="preserve">vai </w:t>
      </w:r>
      <w:r w:rsidRPr="009D6094">
        <w:rPr>
          <w:rFonts w:eastAsia="Times New Roman"/>
          <w:i/>
          <w:iCs/>
        </w:rPr>
        <w:t>Moderna</w:t>
      </w:r>
      <w:r w:rsidRPr="009D6094">
        <w:rPr>
          <w:rFonts w:eastAsia="Times New Roman"/>
        </w:rPr>
        <w:t>) ar intervālu 12 nedēļas pēc pirmās devas saņemšanas. (pamatojumu skatīt sadaļā III pie grūtnieču vakcinācijas).</w:t>
      </w:r>
    </w:p>
    <w:p w14:paraId="608DE1C2" w14:textId="77777777" w:rsidR="00AE4F9D" w:rsidRPr="009D6094" w:rsidRDefault="00AE4F9D" w:rsidP="009D6094">
      <w:pPr>
        <w:ind w:left="360"/>
        <w:jc w:val="both"/>
        <w:rPr>
          <w:rFonts w:cstheme="minorHAnsi"/>
        </w:rPr>
      </w:pPr>
      <w:r w:rsidRPr="009D6094">
        <w:rPr>
          <w:rFonts w:cstheme="minorHAnsi"/>
        </w:rPr>
        <w:t xml:space="preserve">Ja personas apzinātas rīcības gadījumā bez jebkāda medicīniska vai procedūras izmaiņu pamatojuma, kā otrā deva saņemta citas tehnoloģijas vakcīna pret Covid-19, tad trešā deva nav jāplāno un jāievada, lai arī kāda būtu pēdējā pret Covid-19 saņemtās vakcīnas ražošanas tehnoloģija. Piemēram: pirmā deva saņemta ar ražotāja Astra </w:t>
      </w:r>
      <w:proofErr w:type="spellStart"/>
      <w:r w:rsidRPr="009D6094">
        <w:rPr>
          <w:rFonts w:cstheme="minorHAnsi"/>
        </w:rPr>
        <w:t>Zeneca</w:t>
      </w:r>
      <w:proofErr w:type="spellEnd"/>
      <w:r w:rsidRPr="009D6094">
        <w:rPr>
          <w:rFonts w:cstheme="minorHAnsi"/>
        </w:rPr>
        <w:t xml:space="preserve"> vakcīnu </w:t>
      </w:r>
      <w:proofErr w:type="spellStart"/>
      <w:r w:rsidRPr="009D6094">
        <w:rPr>
          <w:rFonts w:cstheme="minorHAnsi"/>
          <w:i/>
          <w:iCs/>
        </w:rPr>
        <w:t>Vaxzevria</w:t>
      </w:r>
      <w:proofErr w:type="spellEnd"/>
      <w:r w:rsidRPr="009D6094">
        <w:rPr>
          <w:rFonts w:cstheme="minorHAnsi"/>
        </w:rPr>
        <w:t xml:space="preserve">, otrā deva ar </w:t>
      </w:r>
      <w:proofErr w:type="spellStart"/>
      <w:r w:rsidRPr="009D6094">
        <w:rPr>
          <w:rFonts w:cstheme="minorHAnsi"/>
        </w:rPr>
        <w:t>mRNS</w:t>
      </w:r>
      <w:proofErr w:type="spellEnd"/>
      <w:r w:rsidRPr="009D6094">
        <w:rPr>
          <w:rFonts w:cstheme="minorHAnsi"/>
        </w:rPr>
        <w:t xml:space="preserve"> vakcīnu (</w:t>
      </w:r>
      <w:proofErr w:type="spellStart"/>
      <w:r w:rsidRPr="009D6094">
        <w:rPr>
          <w:rFonts w:cstheme="minorHAnsi"/>
          <w:i/>
          <w:iCs/>
        </w:rPr>
        <w:t>Comirnaty</w:t>
      </w:r>
      <w:proofErr w:type="spellEnd"/>
      <w:r w:rsidRPr="009D6094">
        <w:rPr>
          <w:rFonts w:cstheme="minorHAnsi"/>
        </w:rPr>
        <w:t xml:space="preserve"> vai </w:t>
      </w:r>
      <w:r w:rsidRPr="009D6094">
        <w:rPr>
          <w:rFonts w:cstheme="minorHAnsi"/>
          <w:i/>
          <w:iCs/>
        </w:rPr>
        <w:t>Moderna</w:t>
      </w:r>
      <w:r w:rsidRPr="009D6094">
        <w:rPr>
          <w:rFonts w:cstheme="minorHAnsi"/>
        </w:rPr>
        <w:t xml:space="preserve">). Tad vēl viena </w:t>
      </w:r>
      <w:proofErr w:type="spellStart"/>
      <w:r w:rsidRPr="009D6094">
        <w:rPr>
          <w:rFonts w:cstheme="minorHAnsi"/>
        </w:rPr>
        <w:t>mRNS</w:t>
      </w:r>
      <w:proofErr w:type="spellEnd"/>
      <w:r w:rsidRPr="009D6094">
        <w:rPr>
          <w:rFonts w:cstheme="minorHAnsi"/>
        </w:rPr>
        <w:t xml:space="preserve"> vakcīnas deva nav indicēta un nav jāievada! (vakcinācijas rokasgrāmata 11 lapa);</w:t>
      </w:r>
    </w:p>
    <w:p w14:paraId="22AA19E6" w14:textId="77777777" w:rsidR="00AE4F9D" w:rsidRPr="009D6094" w:rsidRDefault="00AE4F9D" w:rsidP="009D6094">
      <w:pPr>
        <w:pStyle w:val="ListParagraph"/>
        <w:numPr>
          <w:ilvl w:val="0"/>
          <w:numId w:val="3"/>
        </w:numPr>
        <w:spacing w:after="200" w:line="276" w:lineRule="auto"/>
        <w:jc w:val="both"/>
        <w:rPr>
          <w:rFonts w:asciiTheme="minorHAnsi" w:eastAsia="Times New Roman" w:hAnsiTheme="minorHAnsi" w:cstheme="minorHAnsi"/>
        </w:rPr>
      </w:pPr>
      <w:r w:rsidRPr="009D6094">
        <w:rPr>
          <w:rFonts w:asciiTheme="minorHAnsi" w:eastAsia="Times New Roman" w:hAnsiTheme="minorHAnsi" w:cstheme="minorHAnsi"/>
          <w:lang w:eastAsia="en-GB"/>
        </w:rPr>
        <w:t xml:space="preserve">Ja personai konstatēta nopietna alerģiska reakcija pēc Covid-19 vakcīnas 1. devas ievadīšanas un neraugoties uz to, šī persona tomēr vēlas saņemt arī 2. vakcīnas devu, lūdzam pacientu novirzīt uz stacionāru vakcinācijas kabinetiem, kur pieejama tūlītēja stacionārā palīdzība un pastiprināta medicīniskā uzraudzība. </w:t>
      </w:r>
      <w:r w:rsidRPr="009D6094">
        <w:rPr>
          <w:rFonts w:asciiTheme="minorHAnsi" w:eastAsia="Times New Roman" w:hAnsiTheme="minorHAnsi" w:cstheme="minorHAnsi"/>
        </w:rPr>
        <w:t>(vakcinācijas rokasgrāmata 12 lapa);</w:t>
      </w:r>
    </w:p>
    <w:p w14:paraId="72B0493E" w14:textId="77777777" w:rsidR="00AE4F9D" w:rsidRPr="009D6094" w:rsidRDefault="00AE4F9D" w:rsidP="009D6094">
      <w:pPr>
        <w:pStyle w:val="BodyA"/>
        <w:numPr>
          <w:ilvl w:val="0"/>
          <w:numId w:val="3"/>
        </w:numPr>
        <w:jc w:val="both"/>
        <w:rPr>
          <w:rFonts w:asciiTheme="minorHAnsi" w:eastAsia="Times New Roman" w:hAnsiTheme="minorHAnsi" w:cstheme="minorHAnsi"/>
          <w:color w:val="auto"/>
          <w:u w:val="single"/>
        </w:rPr>
      </w:pPr>
      <w:r w:rsidRPr="009D6094">
        <w:rPr>
          <w:rFonts w:asciiTheme="minorHAnsi" w:eastAsia="Times New Roman" w:hAnsiTheme="minorHAnsi" w:cstheme="minorHAnsi"/>
          <w:color w:val="auto"/>
        </w:rPr>
        <w:t>Precīzi un saprotami jāvienojas ar personu pirmās devas saņemšanas laikā  par nākamo nepieciešamo vakcinācijas vizīti (datumu un laiku)  atbilstoši lietošanas instrukcijā norādītajam:</w:t>
      </w:r>
    </w:p>
    <w:p w14:paraId="6FF6D4AB" w14:textId="77777777" w:rsidR="00AE4F9D" w:rsidRPr="009D6094" w:rsidRDefault="00AE4F9D" w:rsidP="009D6094">
      <w:pPr>
        <w:pStyle w:val="BodyA"/>
        <w:numPr>
          <w:ilvl w:val="1"/>
          <w:numId w:val="3"/>
        </w:numPr>
        <w:jc w:val="both"/>
        <w:rPr>
          <w:rFonts w:ascii="Calibri" w:eastAsia="Times New Roman" w:hAnsi="Calibri" w:cs="Calibri"/>
          <w:color w:val="auto"/>
          <w:u w:val="single"/>
        </w:rPr>
      </w:pPr>
      <w:r w:rsidRPr="009D6094">
        <w:rPr>
          <w:rFonts w:ascii="Calibri" w:eastAsia="Times New Roman" w:hAnsi="Calibri" w:cs="Calibri"/>
          <w:color w:val="auto"/>
        </w:rPr>
        <w:t>Pfizer/</w:t>
      </w:r>
      <w:proofErr w:type="spellStart"/>
      <w:r w:rsidRPr="009D6094">
        <w:rPr>
          <w:rFonts w:ascii="Calibri" w:eastAsia="Times New Roman" w:hAnsi="Calibri" w:cs="Calibri"/>
          <w:color w:val="auto"/>
        </w:rPr>
        <w:t>BioNTech</w:t>
      </w:r>
      <w:proofErr w:type="spellEnd"/>
      <w:r w:rsidRPr="009D6094">
        <w:rPr>
          <w:rFonts w:ascii="Calibri" w:eastAsia="Times New Roman" w:hAnsi="Calibri" w:cs="Calibri"/>
          <w:color w:val="auto"/>
        </w:rPr>
        <w:t xml:space="preserve"> 2. deva jāsaņem  21 dienu jeb 3 nedēļas pēc 1. devas. </w:t>
      </w:r>
    </w:p>
    <w:p w14:paraId="6B499BC7" w14:textId="77777777" w:rsidR="00AE4F9D" w:rsidRPr="009D6094" w:rsidRDefault="00AE4F9D" w:rsidP="009D6094">
      <w:pPr>
        <w:pStyle w:val="BodyA"/>
        <w:numPr>
          <w:ilvl w:val="1"/>
          <w:numId w:val="3"/>
        </w:numPr>
        <w:jc w:val="both"/>
        <w:rPr>
          <w:rFonts w:ascii="Calibri" w:eastAsia="Times New Roman" w:hAnsi="Calibri" w:cs="Calibri"/>
          <w:color w:val="auto"/>
          <w:u w:val="single"/>
        </w:rPr>
      </w:pPr>
      <w:r w:rsidRPr="009D6094">
        <w:rPr>
          <w:rFonts w:ascii="Calibri" w:eastAsia="Times New Roman" w:hAnsi="Calibri" w:cs="Calibri"/>
          <w:color w:val="auto"/>
        </w:rPr>
        <w:t>Moderna vakcīnai 2. deva jāsaņem 28 dienas jeb 4 nedēļas pēc 1. devas.</w:t>
      </w:r>
    </w:p>
    <w:p w14:paraId="01EA24A5" w14:textId="77777777" w:rsidR="00AE4F9D" w:rsidRPr="009D6094" w:rsidRDefault="00AE4F9D" w:rsidP="009D6094">
      <w:pPr>
        <w:pStyle w:val="BodyA"/>
        <w:numPr>
          <w:ilvl w:val="1"/>
          <w:numId w:val="3"/>
        </w:numPr>
        <w:jc w:val="both"/>
        <w:rPr>
          <w:rFonts w:ascii="Calibri" w:eastAsia="Times New Roman" w:hAnsi="Calibri" w:cs="Calibri"/>
          <w:color w:val="auto"/>
          <w:u w:val="single"/>
        </w:rPr>
      </w:pPr>
      <w:proofErr w:type="spellStart"/>
      <w:r w:rsidRPr="009D6094">
        <w:rPr>
          <w:rFonts w:ascii="Calibri" w:eastAsia="Times New Roman" w:hAnsi="Calibri" w:cs="Calibri"/>
          <w:color w:val="auto"/>
          <w:lang w:val="en-US"/>
        </w:rPr>
        <w:t>Vaxzevria</w:t>
      </w:r>
      <w:proofErr w:type="spellEnd"/>
      <w:r w:rsidRPr="009D6094">
        <w:rPr>
          <w:rFonts w:ascii="Calibri" w:eastAsia="Times New Roman" w:hAnsi="Calibri" w:cs="Calibri"/>
          <w:color w:val="auto"/>
          <w:lang w:val="en-US"/>
        </w:rPr>
        <w:t xml:space="preserve"> (AstraZeneca) </w:t>
      </w:r>
      <w:proofErr w:type="spellStart"/>
      <w:r w:rsidRPr="009D6094">
        <w:rPr>
          <w:rFonts w:ascii="Calibri" w:eastAsia="Times New Roman" w:hAnsi="Calibri" w:cs="Calibri"/>
          <w:color w:val="auto"/>
          <w:lang w:val="en-US"/>
        </w:rPr>
        <w:t>vakcīnai</w:t>
      </w:r>
      <w:proofErr w:type="spellEnd"/>
      <w:r w:rsidRPr="009D6094">
        <w:rPr>
          <w:rFonts w:ascii="Calibri" w:eastAsia="Times New Roman" w:hAnsi="Calibri" w:cs="Calibri"/>
          <w:color w:val="auto"/>
          <w:lang w:val="en-US"/>
        </w:rPr>
        <w:t xml:space="preserve"> 2. devas </w:t>
      </w:r>
      <w:proofErr w:type="spellStart"/>
      <w:r w:rsidRPr="009D6094">
        <w:rPr>
          <w:rFonts w:ascii="Calibri" w:eastAsia="Times New Roman" w:hAnsi="Calibri" w:cs="Calibri"/>
          <w:color w:val="auto"/>
          <w:lang w:val="en-US"/>
        </w:rPr>
        <w:t>rekomendētais</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intervāls</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ir</w:t>
      </w:r>
      <w:proofErr w:type="spellEnd"/>
      <w:r w:rsidRPr="009D6094">
        <w:rPr>
          <w:rFonts w:ascii="Calibri" w:eastAsia="Times New Roman" w:hAnsi="Calibri" w:cs="Calibri"/>
          <w:color w:val="auto"/>
          <w:lang w:val="en-US"/>
        </w:rPr>
        <w:t xml:space="preserve"> 4-12 </w:t>
      </w:r>
      <w:proofErr w:type="spellStart"/>
      <w:r w:rsidRPr="009D6094">
        <w:rPr>
          <w:rFonts w:ascii="Calibri" w:eastAsia="Times New Roman" w:hAnsi="Calibri" w:cs="Calibri"/>
          <w:color w:val="auto"/>
          <w:lang w:val="en-US"/>
        </w:rPr>
        <w:t>nedēļas</w:t>
      </w:r>
      <w:proofErr w:type="spellEnd"/>
      <w:r w:rsidRPr="009D6094">
        <w:rPr>
          <w:rFonts w:ascii="Calibri" w:eastAsia="Times New Roman" w:hAnsi="Calibri" w:cs="Calibri"/>
          <w:color w:val="auto"/>
          <w:lang w:val="en-US"/>
        </w:rPr>
        <w:t xml:space="preserve">. 2. devas </w:t>
      </w:r>
      <w:proofErr w:type="spellStart"/>
      <w:r w:rsidRPr="009D6094">
        <w:rPr>
          <w:rFonts w:ascii="Calibri" w:eastAsia="Times New Roman" w:hAnsi="Calibri" w:cs="Calibri"/>
          <w:color w:val="auto"/>
          <w:lang w:val="en-US"/>
        </w:rPr>
        <w:t>saņemšanas</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vizīte</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plānojama</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tuvāk</w:t>
      </w:r>
      <w:proofErr w:type="spellEnd"/>
      <w:r w:rsidRPr="009D6094">
        <w:rPr>
          <w:rFonts w:ascii="Calibri" w:eastAsia="Times New Roman" w:hAnsi="Calibri" w:cs="Calibri"/>
          <w:color w:val="auto"/>
          <w:lang w:val="en-US"/>
        </w:rPr>
        <w:t xml:space="preserve"> 12. </w:t>
      </w:r>
      <w:proofErr w:type="spellStart"/>
      <w:proofErr w:type="gramStart"/>
      <w:r w:rsidRPr="009D6094">
        <w:rPr>
          <w:rFonts w:ascii="Calibri" w:eastAsia="Times New Roman" w:hAnsi="Calibri" w:cs="Calibri"/>
          <w:color w:val="auto"/>
          <w:lang w:val="en-US"/>
        </w:rPr>
        <w:t>nedēļai</w:t>
      </w:r>
      <w:proofErr w:type="spellEnd"/>
      <w:r w:rsidRPr="009D6094">
        <w:rPr>
          <w:rFonts w:ascii="Calibri" w:eastAsia="Times New Roman" w:hAnsi="Calibri" w:cs="Calibri"/>
          <w:color w:val="auto"/>
          <w:lang w:val="en-US"/>
        </w:rPr>
        <w:t>;</w:t>
      </w:r>
      <w:proofErr w:type="gramEnd"/>
    </w:p>
    <w:p w14:paraId="0E8C9175" w14:textId="77777777" w:rsidR="00AE4F9D" w:rsidRPr="009D6094" w:rsidRDefault="00AE4F9D" w:rsidP="009D6094">
      <w:pPr>
        <w:pStyle w:val="BodyA"/>
        <w:numPr>
          <w:ilvl w:val="1"/>
          <w:numId w:val="3"/>
        </w:numPr>
        <w:jc w:val="both"/>
        <w:rPr>
          <w:rFonts w:ascii="Calibri" w:eastAsia="Times New Roman" w:hAnsi="Calibri" w:cs="Calibri"/>
          <w:color w:val="auto"/>
          <w:u w:val="single"/>
        </w:rPr>
      </w:pPr>
      <w:r w:rsidRPr="009D6094">
        <w:rPr>
          <w:rFonts w:ascii="Calibri" w:eastAsia="Times New Roman" w:hAnsi="Calibri" w:cs="Calibri"/>
          <w:color w:val="auto"/>
          <w:lang w:val="en-US"/>
        </w:rPr>
        <w:t xml:space="preserve">Jansen </w:t>
      </w:r>
      <w:proofErr w:type="spellStart"/>
      <w:r w:rsidRPr="009D6094">
        <w:rPr>
          <w:rFonts w:ascii="Calibri" w:eastAsia="Times New Roman" w:hAnsi="Calibri" w:cs="Calibri"/>
          <w:color w:val="auto"/>
          <w:lang w:val="en-US"/>
        </w:rPr>
        <w:t>vakcīnai</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revakcinācija</w:t>
      </w:r>
      <w:proofErr w:type="spellEnd"/>
      <w:r w:rsidRPr="009D6094">
        <w:rPr>
          <w:rFonts w:ascii="Calibri" w:eastAsia="Times New Roman" w:hAnsi="Calibri" w:cs="Calibri"/>
          <w:color w:val="auto"/>
          <w:lang w:val="en-US"/>
        </w:rPr>
        <w:t xml:space="preserve"> nav </w:t>
      </w:r>
      <w:proofErr w:type="spellStart"/>
      <w:r w:rsidRPr="009D6094">
        <w:rPr>
          <w:rFonts w:ascii="Calibri" w:eastAsia="Times New Roman" w:hAnsi="Calibri" w:cs="Calibri"/>
          <w:color w:val="auto"/>
          <w:lang w:val="en-US"/>
        </w:rPr>
        <w:t>nepieciešama</w:t>
      </w:r>
      <w:proofErr w:type="spellEnd"/>
      <w:r w:rsidRPr="009D6094">
        <w:rPr>
          <w:rFonts w:ascii="Calibri" w:eastAsia="Times New Roman" w:hAnsi="Calibri" w:cs="Calibri"/>
          <w:color w:val="auto"/>
          <w:lang w:val="en-US"/>
        </w:rPr>
        <w:t>.</w:t>
      </w:r>
    </w:p>
    <w:p w14:paraId="41B4DBDF" w14:textId="77777777" w:rsidR="00AE4F9D" w:rsidRDefault="00AE4F9D" w:rsidP="009D6094">
      <w:pPr>
        <w:pStyle w:val="BodyA"/>
        <w:jc w:val="both"/>
        <w:rPr>
          <w:color w:val="auto"/>
          <w:sz w:val="24"/>
          <w:szCs w:val="24"/>
          <w:u w:val="single"/>
        </w:rPr>
      </w:pPr>
    </w:p>
    <w:p w14:paraId="5263C47D" w14:textId="77777777" w:rsidR="00AE4F9D" w:rsidRPr="009D6094" w:rsidRDefault="00AE4F9D" w:rsidP="009D6094">
      <w:pPr>
        <w:pStyle w:val="BodyA"/>
        <w:numPr>
          <w:ilvl w:val="0"/>
          <w:numId w:val="6"/>
        </w:numPr>
        <w:jc w:val="both"/>
        <w:rPr>
          <w:rFonts w:ascii="Calibri" w:eastAsia="Times New Roman" w:hAnsi="Calibri" w:cs="Calibri"/>
          <w:color w:val="auto"/>
        </w:rPr>
      </w:pPr>
      <w:proofErr w:type="spellStart"/>
      <w:r w:rsidRPr="009D6094">
        <w:rPr>
          <w:rFonts w:ascii="Calibri" w:eastAsia="Times New Roman" w:hAnsi="Calibri" w:cs="Calibri"/>
          <w:color w:val="auto"/>
          <w:u w:val="single"/>
          <w:lang w:val="en-US"/>
        </w:rPr>
        <w:t>Vaxzevria</w:t>
      </w:r>
      <w:proofErr w:type="spellEnd"/>
      <w:r w:rsidRPr="009D6094">
        <w:rPr>
          <w:rFonts w:ascii="Calibri" w:eastAsia="Times New Roman" w:hAnsi="Calibri" w:cs="Calibri"/>
          <w:color w:val="auto"/>
          <w:u w:val="single"/>
          <w:lang w:val="en-US"/>
        </w:rPr>
        <w:t xml:space="preserve"> (AstraZeneca) </w:t>
      </w:r>
      <w:proofErr w:type="spellStart"/>
      <w:r w:rsidRPr="009D6094">
        <w:rPr>
          <w:rFonts w:ascii="Calibri" w:eastAsia="Times New Roman" w:hAnsi="Calibri" w:cs="Calibri"/>
          <w:color w:val="auto"/>
          <w:u w:val="single"/>
          <w:lang w:val="en-US"/>
        </w:rPr>
        <w:t>piegādātās</w:t>
      </w:r>
      <w:proofErr w:type="spellEnd"/>
      <w:r w:rsidRPr="009D6094">
        <w:rPr>
          <w:rFonts w:ascii="Calibri" w:eastAsia="Times New Roman" w:hAnsi="Calibri" w:cs="Calibri"/>
          <w:color w:val="auto"/>
          <w:u w:val="single"/>
          <w:lang w:val="en-US"/>
        </w:rPr>
        <w:t xml:space="preserve"> </w:t>
      </w:r>
      <w:proofErr w:type="spellStart"/>
      <w:r w:rsidRPr="009D6094">
        <w:rPr>
          <w:rFonts w:ascii="Calibri" w:eastAsia="Times New Roman" w:hAnsi="Calibri" w:cs="Calibri"/>
          <w:color w:val="auto"/>
          <w:u w:val="single"/>
          <w:lang w:val="en-US"/>
        </w:rPr>
        <w:t>vakcīnas</w:t>
      </w:r>
      <w:proofErr w:type="spellEnd"/>
      <w:r w:rsidRPr="009D6094">
        <w:rPr>
          <w:rFonts w:ascii="Calibri" w:eastAsia="Times New Roman" w:hAnsi="Calibri" w:cs="Calibri"/>
          <w:color w:val="auto"/>
          <w:u w:val="single"/>
          <w:lang w:val="en-US"/>
        </w:rPr>
        <w:t xml:space="preserve"> </w:t>
      </w:r>
      <w:proofErr w:type="spellStart"/>
      <w:r w:rsidRPr="009D6094">
        <w:rPr>
          <w:rFonts w:ascii="Calibri" w:eastAsia="Times New Roman" w:hAnsi="Calibri" w:cs="Calibri"/>
          <w:color w:val="auto"/>
          <w:u w:val="single"/>
          <w:lang w:val="en-US"/>
        </w:rPr>
        <w:t>jāizmanto</w:t>
      </w:r>
      <w:proofErr w:type="spellEnd"/>
      <w:r w:rsidRPr="009D6094">
        <w:rPr>
          <w:rFonts w:ascii="Calibri" w:eastAsia="Times New Roman" w:hAnsi="Calibri" w:cs="Calibri"/>
          <w:color w:val="auto"/>
          <w:u w:val="single"/>
          <w:lang w:val="en-US"/>
        </w:rPr>
        <w:t xml:space="preserve"> </w:t>
      </w:r>
      <w:proofErr w:type="spellStart"/>
      <w:r w:rsidRPr="009D6094">
        <w:rPr>
          <w:rFonts w:ascii="Calibri" w:eastAsia="Times New Roman" w:hAnsi="Calibri" w:cs="Calibri"/>
          <w:color w:val="auto"/>
          <w:u w:val="single"/>
          <w:lang w:val="en-US"/>
        </w:rPr>
        <w:t>tikai</w:t>
      </w:r>
      <w:proofErr w:type="spellEnd"/>
      <w:r w:rsidRPr="009D6094">
        <w:rPr>
          <w:rFonts w:ascii="Calibri" w:eastAsia="Times New Roman" w:hAnsi="Calibri" w:cs="Calibri"/>
          <w:color w:val="auto"/>
          <w:u w:val="single"/>
          <w:lang w:val="en-US"/>
        </w:rPr>
        <w:t xml:space="preserve"> </w:t>
      </w:r>
      <w:proofErr w:type="spellStart"/>
      <w:r w:rsidRPr="009D6094">
        <w:rPr>
          <w:rFonts w:ascii="Calibri" w:eastAsia="Times New Roman" w:hAnsi="Calibri" w:cs="Calibri"/>
          <w:color w:val="auto"/>
          <w:u w:val="single"/>
          <w:lang w:val="en-US"/>
        </w:rPr>
        <w:t>otro</w:t>
      </w:r>
      <w:proofErr w:type="spellEnd"/>
      <w:r w:rsidRPr="009D6094">
        <w:rPr>
          <w:rFonts w:ascii="Calibri" w:eastAsia="Times New Roman" w:hAnsi="Calibri" w:cs="Calibri"/>
          <w:color w:val="auto"/>
          <w:u w:val="single"/>
          <w:lang w:val="en-US"/>
        </w:rPr>
        <w:t xml:space="preserve"> </w:t>
      </w:r>
      <w:proofErr w:type="spellStart"/>
      <w:r w:rsidRPr="009D6094">
        <w:rPr>
          <w:rFonts w:ascii="Calibri" w:eastAsia="Times New Roman" w:hAnsi="Calibri" w:cs="Calibri"/>
          <w:color w:val="auto"/>
          <w:u w:val="single"/>
          <w:lang w:val="en-US"/>
        </w:rPr>
        <w:t>devu</w:t>
      </w:r>
      <w:proofErr w:type="spellEnd"/>
      <w:r w:rsidRPr="009D6094">
        <w:rPr>
          <w:rFonts w:ascii="Calibri" w:eastAsia="Times New Roman" w:hAnsi="Calibri" w:cs="Calibri"/>
          <w:color w:val="auto"/>
          <w:u w:val="single"/>
          <w:lang w:val="en-US"/>
        </w:rPr>
        <w:t xml:space="preserve"> </w:t>
      </w:r>
      <w:proofErr w:type="spellStart"/>
      <w:r w:rsidRPr="009D6094">
        <w:rPr>
          <w:rFonts w:ascii="Calibri" w:eastAsia="Times New Roman" w:hAnsi="Calibri" w:cs="Calibri"/>
          <w:color w:val="auto"/>
          <w:u w:val="single"/>
          <w:lang w:val="en-US"/>
        </w:rPr>
        <w:t>vakcinācijai</w:t>
      </w:r>
      <w:proofErr w:type="spellEnd"/>
      <w:r w:rsidRPr="009D6094">
        <w:rPr>
          <w:rFonts w:ascii="Calibri" w:eastAsia="Times New Roman" w:hAnsi="Calibri" w:cs="Calibri"/>
          <w:color w:val="auto"/>
          <w:lang w:val="en-US"/>
        </w:rPr>
        <w:t xml:space="preserve">, jo </w:t>
      </w:r>
      <w:proofErr w:type="spellStart"/>
      <w:r w:rsidRPr="009D6094">
        <w:rPr>
          <w:rFonts w:ascii="Calibri" w:eastAsia="Times New Roman" w:hAnsi="Calibri" w:cs="Calibri"/>
          <w:color w:val="auto"/>
          <w:lang w:val="en-US"/>
        </w:rPr>
        <w:t>šobrīd</w:t>
      </w:r>
      <w:proofErr w:type="spellEnd"/>
      <w:r w:rsidRPr="009D6094">
        <w:rPr>
          <w:rFonts w:ascii="Calibri" w:eastAsia="Times New Roman" w:hAnsi="Calibri" w:cs="Calibri"/>
          <w:color w:val="auto"/>
          <w:lang w:val="en-US"/>
        </w:rPr>
        <w:t xml:space="preserve"> no </w:t>
      </w:r>
      <w:proofErr w:type="spellStart"/>
      <w:r w:rsidRPr="009D6094">
        <w:rPr>
          <w:rFonts w:ascii="Calibri" w:eastAsia="Times New Roman" w:hAnsi="Calibri" w:cs="Calibri"/>
          <w:color w:val="auto"/>
          <w:lang w:val="en-US"/>
        </w:rPr>
        <w:t>ražotāja</w:t>
      </w:r>
      <w:proofErr w:type="spellEnd"/>
      <w:r w:rsidRPr="009D6094">
        <w:rPr>
          <w:rFonts w:ascii="Calibri" w:eastAsia="Times New Roman" w:hAnsi="Calibri" w:cs="Calibri"/>
          <w:color w:val="auto"/>
          <w:lang w:val="en-US"/>
        </w:rPr>
        <w:t xml:space="preserve"> nav </w:t>
      </w:r>
      <w:proofErr w:type="spellStart"/>
      <w:r w:rsidRPr="009D6094">
        <w:rPr>
          <w:rFonts w:ascii="Calibri" w:eastAsia="Times New Roman" w:hAnsi="Calibri" w:cs="Calibri"/>
          <w:color w:val="auto"/>
          <w:lang w:val="en-US"/>
        </w:rPr>
        <w:t>apstiprināti</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precīzi</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nākamo</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piegāžu</w:t>
      </w:r>
      <w:proofErr w:type="spellEnd"/>
      <w:r w:rsidRPr="009D6094">
        <w:rPr>
          <w:rFonts w:ascii="Calibri" w:eastAsia="Times New Roman" w:hAnsi="Calibri" w:cs="Calibri"/>
          <w:color w:val="auto"/>
          <w:lang w:val="en-US"/>
        </w:rPr>
        <w:t xml:space="preserve"> </w:t>
      </w:r>
      <w:proofErr w:type="spellStart"/>
      <w:r w:rsidRPr="009D6094">
        <w:rPr>
          <w:rFonts w:ascii="Calibri" w:eastAsia="Times New Roman" w:hAnsi="Calibri" w:cs="Calibri"/>
          <w:color w:val="auto"/>
          <w:lang w:val="en-US"/>
        </w:rPr>
        <w:t>datumi</w:t>
      </w:r>
      <w:proofErr w:type="spellEnd"/>
      <w:r>
        <w:rPr>
          <w:rFonts w:eastAsia="Times New Roman"/>
          <w:color w:val="auto"/>
          <w:sz w:val="24"/>
          <w:szCs w:val="24"/>
          <w:lang w:val="en-US"/>
        </w:rPr>
        <w:t xml:space="preserve"> </w:t>
      </w:r>
      <w:r w:rsidRPr="009D6094">
        <w:rPr>
          <w:rFonts w:ascii="Calibri" w:eastAsia="Times New Roman" w:hAnsi="Calibri" w:cs="Calibri"/>
          <w:color w:val="auto"/>
          <w:lang w:val="en-US"/>
        </w:rPr>
        <w:t xml:space="preserve">un </w:t>
      </w:r>
      <w:proofErr w:type="spellStart"/>
      <w:r w:rsidRPr="009D6094">
        <w:rPr>
          <w:rFonts w:ascii="Calibri" w:eastAsia="Times New Roman" w:hAnsi="Calibri" w:cs="Calibri"/>
          <w:color w:val="auto"/>
          <w:lang w:val="en-US"/>
        </w:rPr>
        <w:t>apjomi</w:t>
      </w:r>
      <w:proofErr w:type="spellEnd"/>
      <w:r w:rsidRPr="009D6094">
        <w:rPr>
          <w:rFonts w:ascii="Calibri" w:eastAsia="Times New Roman" w:hAnsi="Calibri" w:cs="Calibri"/>
          <w:color w:val="auto"/>
          <w:lang w:val="en-US"/>
        </w:rPr>
        <w:t xml:space="preserve">. </w:t>
      </w:r>
      <w:r w:rsidRPr="009D6094">
        <w:rPr>
          <w:rFonts w:ascii="Calibri" w:eastAsia="Times New Roman" w:hAnsi="Calibri" w:cs="Calibri"/>
          <w:color w:val="auto"/>
        </w:rPr>
        <w:t xml:space="preserve">Ja </w:t>
      </w:r>
      <w:r w:rsidRPr="009D6094">
        <w:rPr>
          <w:rFonts w:ascii="Calibri" w:eastAsia="Times New Roman" w:hAnsi="Calibri" w:cs="Calibri"/>
          <w:color w:val="auto"/>
        </w:rPr>
        <w:lastRenderedPageBreak/>
        <w:t>revakcinācijas dienā  veidojas vakcīnu atlikumi no flakona, tad uz revakcināciju aicina citas personas, kurām  ir tuvāks revakcinācijas laiks 12 nedēļām, ņemot vērā, ka:</w:t>
      </w:r>
    </w:p>
    <w:p w14:paraId="5875DE61" w14:textId="77777777" w:rsidR="00AE4F9D" w:rsidRPr="009D6094" w:rsidRDefault="00AE4F9D" w:rsidP="009D6094">
      <w:pPr>
        <w:pStyle w:val="BodyA"/>
        <w:numPr>
          <w:ilvl w:val="1"/>
          <w:numId w:val="6"/>
        </w:numPr>
        <w:jc w:val="both"/>
        <w:rPr>
          <w:rFonts w:asciiTheme="minorHAnsi" w:eastAsia="Times New Roman" w:hAnsiTheme="minorHAnsi" w:cstheme="minorHAnsi"/>
          <w:color w:val="auto"/>
        </w:rPr>
      </w:pPr>
      <w:r w:rsidRPr="009D6094">
        <w:rPr>
          <w:rFonts w:asciiTheme="minorHAnsi" w:eastAsia="Times New Roman" w:hAnsiTheme="minorHAnsi" w:cstheme="minorHAnsi"/>
          <w:color w:val="auto"/>
        </w:rPr>
        <w:t>6 stundas pēc atšķaidīšanas no +2 līdz +30 ºC</w:t>
      </w:r>
    </w:p>
    <w:p w14:paraId="3CE10974" w14:textId="77777777" w:rsidR="00AE4F9D" w:rsidRPr="009D6094" w:rsidRDefault="00AE4F9D" w:rsidP="009D6094">
      <w:pPr>
        <w:pStyle w:val="BodyA"/>
        <w:numPr>
          <w:ilvl w:val="1"/>
          <w:numId w:val="6"/>
        </w:numPr>
        <w:jc w:val="both"/>
        <w:rPr>
          <w:rFonts w:asciiTheme="minorHAnsi" w:eastAsia="Times New Roman" w:hAnsiTheme="minorHAnsi" w:cstheme="minorHAnsi"/>
          <w:color w:val="auto"/>
        </w:rPr>
      </w:pPr>
      <w:r w:rsidRPr="009D6094">
        <w:rPr>
          <w:rFonts w:asciiTheme="minorHAnsi" w:eastAsia="Times New Roman" w:hAnsiTheme="minorHAnsi" w:cstheme="minorHAnsi"/>
          <w:color w:val="auto"/>
        </w:rPr>
        <w:t>48 stundas uzglabājot ledusskapi ((2°C - 8°C)</w:t>
      </w:r>
    </w:p>
    <w:p w14:paraId="2034754B" w14:textId="77777777" w:rsidR="00AE4F9D" w:rsidRDefault="00AE4F9D" w:rsidP="009D6094">
      <w:pPr>
        <w:pStyle w:val="BodyA"/>
        <w:jc w:val="both"/>
        <w:rPr>
          <w:color w:val="auto"/>
          <w:sz w:val="24"/>
          <w:szCs w:val="24"/>
        </w:rPr>
      </w:pPr>
    </w:p>
    <w:p w14:paraId="17848308" w14:textId="77777777" w:rsidR="00AE4F9D" w:rsidRPr="009D6094" w:rsidRDefault="00AE4F9D" w:rsidP="009D6094">
      <w:pPr>
        <w:pStyle w:val="BodyA"/>
        <w:numPr>
          <w:ilvl w:val="0"/>
          <w:numId w:val="6"/>
        </w:numPr>
        <w:jc w:val="both"/>
        <w:rPr>
          <w:rFonts w:asciiTheme="minorHAnsi" w:eastAsia="Times New Roman" w:hAnsiTheme="minorHAnsi" w:cstheme="minorHAnsi"/>
          <w:color w:val="auto"/>
        </w:rPr>
      </w:pPr>
      <w:r w:rsidRPr="009D6094">
        <w:rPr>
          <w:rFonts w:asciiTheme="minorHAnsi" w:eastAsia="Times New Roman" w:hAnsiTheme="minorHAnsi" w:cstheme="minorHAnsi"/>
          <w:color w:val="auto"/>
        </w:rPr>
        <w:t xml:space="preserve">Veicot personas pierakstu </w:t>
      </w:r>
      <w:proofErr w:type="spellStart"/>
      <w:r w:rsidRPr="009D6094">
        <w:rPr>
          <w:rFonts w:asciiTheme="minorHAnsi" w:eastAsia="Times New Roman" w:hAnsiTheme="minorHAnsi" w:cstheme="minorHAnsi"/>
          <w:color w:val="auto"/>
        </w:rPr>
        <w:t>ViVaT</w:t>
      </w:r>
      <w:proofErr w:type="spellEnd"/>
      <w:r w:rsidRPr="009D6094">
        <w:rPr>
          <w:rFonts w:asciiTheme="minorHAnsi" w:eastAsia="Times New Roman" w:hAnsiTheme="minorHAnsi" w:cstheme="minorHAnsi"/>
          <w:color w:val="auto"/>
        </w:rPr>
        <w:t xml:space="preserve"> kalendārā uz revakcināciju, personai tiek izsūtīta īsziņa par otrās potes saņemšanas vietu, datumu un laiku, kā arī atgādinājuma īsziņa vienu dienu pirms revakcinācijas dienas. Ja persona pieraksta laiks </w:t>
      </w:r>
      <w:proofErr w:type="spellStart"/>
      <w:r w:rsidRPr="009D6094">
        <w:rPr>
          <w:rFonts w:asciiTheme="minorHAnsi" w:eastAsia="Times New Roman" w:hAnsiTheme="minorHAnsi" w:cstheme="minorHAnsi"/>
          <w:color w:val="auto"/>
        </w:rPr>
        <w:t>ViVaT</w:t>
      </w:r>
      <w:proofErr w:type="spellEnd"/>
      <w:r w:rsidRPr="009D6094">
        <w:rPr>
          <w:rFonts w:asciiTheme="minorHAnsi" w:eastAsia="Times New Roman" w:hAnsiTheme="minorHAnsi" w:cstheme="minorHAnsi"/>
          <w:color w:val="auto"/>
        </w:rPr>
        <w:t xml:space="preserve"> kalendārā  tiek mainīts no ārstniecības iestādes puses, tad persona par to tiek informēta ar īsziņu.</w:t>
      </w:r>
    </w:p>
    <w:p w14:paraId="0C57F8E0" w14:textId="77777777" w:rsidR="00AE4F9D" w:rsidRPr="009D6094" w:rsidRDefault="00AE4F9D" w:rsidP="009D6094">
      <w:pPr>
        <w:pStyle w:val="BodyA"/>
        <w:jc w:val="both"/>
        <w:rPr>
          <w:rFonts w:asciiTheme="minorHAnsi" w:hAnsiTheme="minorHAnsi" w:cstheme="minorHAnsi"/>
          <w:color w:val="auto"/>
        </w:rPr>
      </w:pPr>
    </w:p>
    <w:p w14:paraId="25F35B0E" w14:textId="77777777" w:rsidR="00AE4F9D" w:rsidRPr="009D6094" w:rsidRDefault="00AE4F9D" w:rsidP="009D6094">
      <w:pPr>
        <w:pStyle w:val="BodyA"/>
        <w:jc w:val="both"/>
        <w:rPr>
          <w:rFonts w:asciiTheme="minorHAnsi" w:hAnsiTheme="minorHAnsi" w:cstheme="minorHAnsi"/>
          <w:color w:val="auto"/>
        </w:rPr>
      </w:pPr>
      <w:r w:rsidRPr="009D6094">
        <w:rPr>
          <w:rFonts w:asciiTheme="minorHAnsi" w:hAnsiTheme="minorHAnsi" w:cstheme="minorHAnsi"/>
          <w:color w:val="auto"/>
        </w:rPr>
        <w:t>Aktuālā vakcinācijas rokasgrāmatas versija ir pieejama šeit:</w:t>
      </w:r>
    </w:p>
    <w:p w14:paraId="03F8EBFA" w14:textId="77777777" w:rsidR="00AE4F9D" w:rsidRPr="009D6094" w:rsidRDefault="009D6094" w:rsidP="009D6094">
      <w:pPr>
        <w:pStyle w:val="BodyA"/>
        <w:jc w:val="both"/>
        <w:rPr>
          <w:rFonts w:asciiTheme="minorHAnsi" w:hAnsiTheme="minorHAnsi" w:cstheme="minorHAnsi"/>
          <w:color w:val="auto"/>
        </w:rPr>
      </w:pPr>
      <w:hyperlink r:id="rId5" w:history="1">
        <w:r w:rsidR="00AE4F9D" w:rsidRPr="009D6094">
          <w:rPr>
            <w:rStyle w:val="Hyperlink"/>
            <w:rFonts w:asciiTheme="minorHAnsi" w:hAnsiTheme="minorHAnsi" w:cstheme="minorHAnsi"/>
          </w:rPr>
          <w:t>https://www.vmnvd.gov.lv/lv/vakcinacijas-rokasgramata-informativais-materials-vakcinacijas-veicejiem</w:t>
        </w:r>
      </w:hyperlink>
    </w:p>
    <w:p w14:paraId="7F8178A9" w14:textId="77777777" w:rsidR="00AE4F9D" w:rsidRDefault="00AE4F9D" w:rsidP="00AE4F9D">
      <w:pPr>
        <w:pStyle w:val="BodyA"/>
        <w:rPr>
          <w:color w:val="auto"/>
          <w:sz w:val="24"/>
          <w:szCs w:val="24"/>
        </w:rPr>
      </w:pPr>
    </w:p>
    <w:p w14:paraId="0B9A7E92" w14:textId="08393C61" w:rsidR="00BE6B50" w:rsidRPr="003E3B83" w:rsidRDefault="009D6094" w:rsidP="00AE4F9D">
      <w:pPr>
        <w:spacing w:after="120"/>
        <w:jc w:val="both"/>
        <w:textAlignment w:val="baseline"/>
        <w:rPr>
          <w:rFonts w:ascii="Calibri" w:hAnsi="Calibri" w:cs="Calibri"/>
        </w:rPr>
      </w:pPr>
    </w:p>
    <w:sectPr w:rsidR="00BE6B50" w:rsidRPr="003E3B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3E3B83"/>
    <w:rsid w:val="00416FA7"/>
    <w:rsid w:val="006F0546"/>
    <w:rsid w:val="009D6094"/>
    <w:rsid w:val="00A12D67"/>
    <w:rsid w:val="00A80153"/>
    <w:rsid w:val="00AE4F9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vakcinacijas-rokasgramata-informativais-materials-vakcinacijas-veicej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2371</Words>
  <Characters>1353</Characters>
  <Application>Microsoft Office Word</Application>
  <DocSecurity>0</DocSecurity>
  <Lines>11</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2021-05-21T12:54:00Z</dcterms:created>
  <dcterms:modified xsi:type="dcterms:W3CDTF">2021-05-24T10:22:00Z</dcterms:modified>
</cp:coreProperties>
</file>