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1"/>
      </w:tblGrid>
      <w:tr w:rsidR="005F57A5" w:rsidTr="003226FD">
        <w:tc>
          <w:tcPr>
            <w:tcW w:w="9071" w:type="dxa"/>
          </w:tcPr>
          <w:p w:rsidR="005F57A5" w:rsidRDefault="005F57A5" w:rsidP="005F57A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/>
                <w:sz w:val="24"/>
                <w:szCs w:val="24"/>
              </w:rPr>
            </w:pPr>
            <w:r>
              <w:rPr>
                <w:rFonts w:ascii="Tms Rmn" w:hAnsi="Tms Rm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B5B6148" wp14:editId="6BAFE26B">
                  <wp:extent cx="5575300" cy="1050925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0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7A5" w:rsidTr="003226FD">
        <w:tc>
          <w:tcPr>
            <w:tcW w:w="9071" w:type="dxa"/>
          </w:tcPr>
          <w:p w:rsidR="005F57A5" w:rsidRDefault="005F57A5" w:rsidP="005F57A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/>
                <w:sz w:val="24"/>
                <w:szCs w:val="24"/>
              </w:rPr>
            </w:pPr>
            <w:r>
              <w:rPr>
                <w:rFonts w:ascii="Tms Rmn" w:hAnsi="Tms Rm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58E05DA" wp14:editId="44835416">
                  <wp:extent cx="3295650" cy="69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7A5" w:rsidTr="003226FD">
        <w:tc>
          <w:tcPr>
            <w:tcW w:w="9071" w:type="dxa"/>
          </w:tcPr>
          <w:p w:rsidR="005F57A5" w:rsidRDefault="005F57A5" w:rsidP="005F57A5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Cēsu iela 31 k-3, Rīga, LV-1012, Tālr. 67043744, Fakss 67043701, E-pasts nvd@vmnvd.gov.lv</w:t>
            </w:r>
          </w:p>
        </w:tc>
      </w:tr>
    </w:tbl>
    <w:p w:rsidR="005F57A5" w:rsidRDefault="005F57A5" w:rsidP="005F57A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16"/>
          <w:szCs w:val="16"/>
        </w:rPr>
      </w:pPr>
    </w:p>
    <w:p w:rsidR="005F57A5" w:rsidRDefault="005F57A5" w:rsidP="005F57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5F57A5" w:rsidRDefault="005F57A5" w:rsidP="005F57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1"/>
      </w:tblGrid>
      <w:tr w:rsidR="005F57A5">
        <w:tc>
          <w:tcPr>
            <w:tcW w:w="9071" w:type="dxa"/>
          </w:tcPr>
          <w:p w:rsidR="005F57A5" w:rsidRDefault="005F57A5" w:rsidP="005F57A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Rīgā</w:t>
            </w:r>
          </w:p>
          <w:p w:rsidR="005F57A5" w:rsidRDefault="005F57A5" w:rsidP="005F57A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57A5" w:rsidRDefault="005F57A5" w:rsidP="005F57A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62"/>
        <w:gridCol w:w="5669"/>
      </w:tblGrid>
      <w:tr w:rsidR="005F57A5">
        <w:tc>
          <w:tcPr>
            <w:tcW w:w="3662" w:type="dxa"/>
          </w:tcPr>
          <w:p w:rsidR="005F57A5" w:rsidRDefault="005F57A5" w:rsidP="005F57A5">
            <w:pPr>
              <w:keepLines/>
              <w:tabs>
                <w:tab w:val="left" w:pos="29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 Nr. __________</w:t>
            </w:r>
          </w:p>
        </w:tc>
        <w:tc>
          <w:tcPr>
            <w:tcW w:w="5669" w:type="dxa"/>
            <w:vMerge w:val="restart"/>
          </w:tcPr>
          <w:p w:rsidR="005F57A5" w:rsidRDefault="00F63583" w:rsidP="007F5710">
            <w:pPr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Sekundārās</w:t>
            </w:r>
            <w:r w:rsidR="00322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veselības aprūpes pakalpojumu sniedzējiem</w:t>
            </w:r>
            <w:r w:rsidR="005F5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5F57A5">
        <w:tc>
          <w:tcPr>
            <w:tcW w:w="3662" w:type="dxa"/>
          </w:tcPr>
          <w:p w:rsidR="005F57A5" w:rsidRDefault="005F57A5" w:rsidP="005F57A5">
            <w:pPr>
              <w:keepLines/>
              <w:autoSpaceDE w:val="0"/>
              <w:autoSpaceDN w:val="0"/>
              <w:adjustRightInd w:val="0"/>
              <w:spacing w:after="0" w:line="240" w:lineRule="auto"/>
              <w:ind w:left="402" w:hanging="4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  </w:t>
            </w:r>
          </w:p>
        </w:tc>
        <w:tc>
          <w:tcPr>
            <w:tcW w:w="5669" w:type="dxa"/>
            <w:vMerge/>
          </w:tcPr>
          <w:p w:rsidR="005F57A5" w:rsidRDefault="005F57A5" w:rsidP="005F57A5">
            <w:pPr>
              <w:keepLines/>
              <w:autoSpaceDE w:val="0"/>
              <w:autoSpaceDN w:val="0"/>
              <w:adjustRightInd w:val="0"/>
              <w:spacing w:after="0" w:line="240" w:lineRule="auto"/>
              <w:ind w:left="402" w:hanging="4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57A5" w:rsidRDefault="005F57A5" w:rsidP="005F5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1"/>
        <w:gridCol w:w="8619"/>
        <w:gridCol w:w="191"/>
      </w:tblGrid>
      <w:tr w:rsidR="005F57A5" w:rsidTr="00644933">
        <w:trPr>
          <w:gridBefore w:val="1"/>
          <w:gridAfter w:val="1"/>
          <w:wBefore w:w="261" w:type="dxa"/>
          <w:wAfter w:w="191" w:type="dxa"/>
          <w:trHeight w:val="892"/>
        </w:trPr>
        <w:tc>
          <w:tcPr>
            <w:tcW w:w="8619" w:type="dxa"/>
          </w:tcPr>
          <w:p w:rsidR="005F57A5" w:rsidRDefault="005F57A5" w:rsidP="000F767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 sirds un asinsvadu slimību profilaks</w:t>
            </w:r>
            <w:r w:rsidR="00544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es kārtību</w:t>
            </w:r>
          </w:p>
        </w:tc>
      </w:tr>
      <w:tr w:rsidR="005F57A5" w:rsidTr="00644933">
        <w:tc>
          <w:tcPr>
            <w:tcW w:w="9071" w:type="dxa"/>
            <w:gridSpan w:val="3"/>
            <w:shd w:val="clear" w:color="auto" w:fill="auto"/>
          </w:tcPr>
          <w:p w:rsidR="00FF2F97" w:rsidRPr="00481C88" w:rsidRDefault="00544F4D" w:rsidP="005F57A5">
            <w:pPr>
              <w:keepLines/>
              <w:autoSpaceDE w:val="0"/>
              <w:autoSpaceDN w:val="0"/>
              <w:adjustRightInd w:val="0"/>
              <w:spacing w:after="0" w:line="240" w:lineRule="auto"/>
              <w:ind w:left="15" w:firstLine="83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="00FF2F97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irds un asinsvadu slimības</w:t>
            </w:r>
            <w:r w:rsidR="00C82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(turpmāk tekstā – SAS)</w:t>
            </w:r>
            <w:r w:rsidR="00FF2F97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nozīmīga sabiedrības veselības problēma Latvijā, ko vienlaikus apliecina augstie mirstības, saslimstības un hospitalizācijas rādītāji, turklāt </w:t>
            </w:r>
            <w:r w:rsidR="00C82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SAS</w:t>
            </w:r>
            <w:r w:rsidR="00FF2F97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r w:rsidR="00C219BB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visizplatītākais nāves cēlonis Latvijā</w:t>
            </w:r>
            <w:r w:rsidR="00D31C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219BB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82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SAS</w:t>
            </w:r>
            <w:r w:rsidR="00C219BB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profilaks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r w:rsidR="00C219BB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un agrīn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="00C219BB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diagnostik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 </w:t>
            </w:r>
            <w:r w:rsidR="00C219BB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primārā veselības aprūpes līmenī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var mazināt</w:t>
            </w:r>
            <w:r w:rsidR="00C219BB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82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SAS</w:t>
            </w:r>
            <w:r w:rsidR="00C219BB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radītās sekas.</w:t>
            </w:r>
          </w:p>
          <w:p w:rsidR="00625622" w:rsidRDefault="00C219BB" w:rsidP="0062562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Nacionālais veselības dienests (turpmāk tekstā – Dienests) sadarbībā </w:t>
            </w:r>
            <w:r w:rsidR="0096211E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ar </w:t>
            </w:r>
            <w:r w:rsidR="00204ADD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Latvijas kardioloģijas biedrības</w:t>
            </w:r>
            <w:r w:rsidR="0096211E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ekspertiem un</w:t>
            </w:r>
            <w:r w:rsidR="00DA0B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Veselības ministriju</w:t>
            </w:r>
            <w:r w:rsidR="00D31C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 w:rsidR="00544F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izmantojot </w:t>
            </w:r>
            <w:r w:rsidR="00204ADD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zinātnisko literatūru un starptautiski atzītas sirds un asinsvadu profilakses un agrīnas diagnostikas metodes</w:t>
            </w:r>
            <w:r w:rsid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kā arī</w:t>
            </w:r>
            <w:r w:rsidR="00204ADD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vadlīnijas, tāpat arī Pasaules veselības organizācijas ieteikumus, Eiropas Kardiologu biedrības izstrādātās vadlīnijas, Slimību profilakses un kontroles centra izstrādāt</w:t>
            </w:r>
            <w:r w:rsidR="0096211E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ā</w:t>
            </w:r>
            <w:r w:rsidR="00204ADD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</w:t>
            </w:r>
            <w:r w:rsidR="0096211E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metodiskā</w:t>
            </w:r>
            <w:r w:rsidR="00204ADD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 </w:t>
            </w:r>
            <w:r w:rsidR="0096211E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rekomendācijas,</w:t>
            </w:r>
            <w:r w:rsidR="00204ADD"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ir izstrādājis </w:t>
            </w:r>
            <w:r w:rsidR="00A87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2018.gada </w:t>
            </w:r>
            <w:r w:rsidR="00D31C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24.jūlija</w:t>
            </w:r>
            <w:r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Ministru kabineta noteikumus </w:t>
            </w:r>
            <w:r w:rsidR="009810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Nr.452 </w:t>
            </w:r>
            <w:r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r w:rsidR="006F4F16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Kārtība, kādā sniedzami veselības aprūpes pakalpojumi</w:t>
            </w:r>
            <w:r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sirds un asinsvadu slimību profilaksei” (turpmāk tekstā – Noteikumi) ar </w:t>
            </w:r>
            <w:r w:rsidR="00204ADD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mērķi ieviest primāro profilaks</w:t>
            </w:r>
            <w:r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 </w:t>
            </w:r>
            <w:r w:rsidR="00C82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SAS</w:t>
            </w:r>
            <w:r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pri</w:t>
            </w:r>
            <w:r w:rsidR="00095FDE" w:rsidRPr="00481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mārās veselības aprūpes līmenī, kas stājās spēkā ar 2018.gada </w:t>
            </w:r>
            <w:r w:rsidR="009810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1.augustu</w:t>
            </w:r>
            <w:r w:rsidR="006256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F64D19" w:rsidRPr="00C825FF" w:rsidRDefault="00C219BB" w:rsidP="00C825F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Noteikumi paredz</w:t>
            </w:r>
            <w:r w:rsidR="00C825F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825FF" w:rsidRPr="000F76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SAS</w:t>
            </w:r>
            <w:r w:rsidRPr="000F76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644933" w:rsidRPr="000F76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primārās </w:t>
            </w:r>
            <w:r w:rsidRPr="000F76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profilaks</w:t>
            </w:r>
            <w:r w:rsidR="00C825FF" w:rsidRPr="000F76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es </w:t>
            </w:r>
            <w:r w:rsidR="00644933" w:rsidRPr="000F76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īsteno</w:t>
            </w:r>
            <w:r w:rsidR="00C825FF" w:rsidRPr="000F76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šanu</w:t>
            </w:r>
            <w:r w:rsidRPr="000F76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iedzīvotājiem 40, 45, 50, 55, 60 un 65 gadu vecumā</w:t>
            </w:r>
            <w:r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atbilstoši</w:t>
            </w:r>
            <w:r w:rsidRPr="00481C88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starptautiski atzītai SCORE metodei jeb sistemātiskā koronārā riska izvērtēšanai (</w:t>
            </w:r>
            <w:r w:rsidRPr="00481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Systematic Coronary Risk Evaluation</w:t>
            </w:r>
            <w:r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  <w:r w:rsidR="00132E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="00C82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825F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SAS</w:t>
            </w:r>
            <w:r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profilakses ietvaros paredzēts, ka ģimenes ārsta praksē pacientam tiks noteikts </w:t>
            </w:r>
            <w:r w:rsidR="00C825F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SAS</w:t>
            </w:r>
            <w:r w:rsidRPr="00481C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jeb kardiovaskulāro saslimšanu risks, pielietojot metodi fatālu kardiovaskulāru notikumu riska noteikšanai</w:t>
            </w:r>
            <w:r w:rsidR="0064493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tuvāko 10 gadu laikā jeb SCORE</w:t>
            </w:r>
            <w:r w:rsidR="00F64D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132E8A" w:rsidRPr="00432873" w:rsidRDefault="00C219BB" w:rsidP="004328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Pirms </w:t>
            </w:r>
            <w:r w:rsidR="00C825FF" w:rsidRP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SAS</w:t>
            </w:r>
            <w:r w:rsidRP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riska noteikšanas pacientam t</w:t>
            </w:r>
            <w:r w:rsidR="00F64D19" w:rsidRP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iek</w:t>
            </w:r>
            <w:r w:rsidRPr="00615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veikta</w:t>
            </w:r>
            <w:r w:rsidR="00432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E46B8" w:rsidRPr="004328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SAS un s</w:t>
            </w:r>
            <w:r w:rsidR="000F6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mēķēšanas</w:t>
            </w:r>
            <w:r w:rsidR="00432873" w:rsidRPr="004328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ģimenes anamnēzes izvērtēšana, </w:t>
            </w:r>
            <w:r w:rsidRPr="00432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sistoliskā un diast</w:t>
            </w:r>
            <w:r w:rsidR="000F67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oliskā asinsspiediena</w:t>
            </w:r>
            <w:r w:rsidR="00432873" w:rsidRPr="00432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432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vidukļa apkārtmēra un ķermeņa masas indeksa</w:t>
            </w:r>
            <w:r w:rsidR="00432873" w:rsidRPr="00432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432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kopējā holesterīna</w:t>
            </w:r>
            <w:r w:rsidR="000F67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un</w:t>
            </w:r>
            <w:r w:rsidR="00432873" w:rsidRPr="00432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32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glikozes līmeņa asinīs noteikšana</w:t>
            </w:r>
            <w:r w:rsidR="000F67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kā arī</w:t>
            </w:r>
            <w:r w:rsidR="00432873" w:rsidRPr="00432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32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sirds un miega artēriju auskultācija.</w:t>
            </w:r>
            <w:r w:rsidR="00F64D19" w:rsidRPr="004328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F1C78" w:rsidRDefault="005F1C78" w:rsidP="005F1C7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Kad ģimenes ārsts ir noteicis atbilstošo SAS riska grupu, tiek </w:t>
            </w:r>
            <w:r w:rsidRPr="00481C88">
              <w:rPr>
                <w:rFonts w:ascii="Times New Roman" w:eastAsia="Times New Roman" w:hAnsi="Times New Roman"/>
                <w:iCs/>
                <w:sz w:val="24"/>
                <w:szCs w:val="24"/>
              </w:rPr>
              <w:t>novērtēts nepieciešamo papild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us </w:t>
            </w:r>
            <w:r w:rsidRPr="00481C8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izmeklējumu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apjoms un tālākā terapijas taktika atbilstoši Noteikumu 1.pielikumam “Rīcība pēc sirds un asinsvadu slimības riska vērtējuma noteikšanas” (turpmāk tekstā – 1.pielikums)</w:t>
            </w:r>
            <w:r w:rsidRPr="00481C8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, lai izdalītu, galvenokārt, augsta un ļoti augsta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SAS</w:t>
            </w:r>
            <w:r w:rsidRPr="00481C8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riska pacientus. Jo lielāks iespējamo turpmāko SAS notikumu risks, jo intensīvāki un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īsākā laika periodā noteiktie</w:t>
            </w:r>
            <w:r w:rsidRPr="00481C8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profilaktiskie pasākumi jāveic, lai i</w:t>
            </w:r>
            <w:r w:rsidR="003430D3">
              <w:rPr>
                <w:rFonts w:ascii="Times New Roman" w:eastAsia="Times New Roman" w:hAnsi="Times New Roman"/>
                <w:iCs/>
                <w:sz w:val="24"/>
                <w:szCs w:val="24"/>
              </w:rPr>
              <w:t>espējami izvairītos no SAS un to</w:t>
            </w:r>
            <w:r w:rsidRPr="00481C8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radītām sekām.</w:t>
            </w:r>
          </w:p>
          <w:p w:rsidR="001C7007" w:rsidRDefault="005F1C78" w:rsidP="005F1C78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Pamatojoties uz noteikto SAS risku, ģimenes ārsts</w:t>
            </w:r>
            <w:r w:rsidRPr="00EB65F9">
              <w:rPr>
                <w:rFonts w:ascii="Times New Roman" w:hAnsi="Times New Roman"/>
                <w:sz w:val="24"/>
                <w:szCs w:val="24"/>
              </w:rPr>
              <w:t xml:space="preserve"> organizē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pacienta</w:t>
            </w:r>
            <w:r w:rsidRPr="00EB65F9">
              <w:rPr>
                <w:rFonts w:ascii="Times New Roman" w:hAnsi="Times New Roman"/>
                <w:sz w:val="24"/>
                <w:szCs w:val="24"/>
              </w:rPr>
              <w:t xml:space="preserve"> turpmākos veselības aprūpes pakalpojumus saskaņā ar Noteikumu 1.pielikumu</w:t>
            </w:r>
            <w:r>
              <w:rPr>
                <w:rFonts w:ascii="Times New Roman" w:hAnsi="Times New Roman"/>
                <w:sz w:val="24"/>
                <w:szCs w:val="24"/>
              </w:rPr>
              <w:t>. N</w:t>
            </w:r>
            <w:r w:rsidR="001C7007" w:rsidRPr="001C7007">
              <w:rPr>
                <w:rFonts w:ascii="Times New Roman" w:hAnsi="Times New Roman" w:cs="Times New Roman"/>
                <w:sz w:val="24"/>
                <w:szCs w:val="24"/>
              </w:rPr>
              <w:t xml:space="preserve">osūtot pacientu </w:t>
            </w:r>
            <w:r w:rsidR="001C7007">
              <w:rPr>
                <w:rFonts w:ascii="Times New Roman" w:hAnsi="Times New Roman" w:cs="Times New Roman"/>
                <w:sz w:val="24"/>
                <w:szCs w:val="24"/>
              </w:rPr>
              <w:t xml:space="preserve">SAS tālāku </w:t>
            </w:r>
            <w:r w:rsidR="001C7007" w:rsidRPr="001C7007">
              <w:rPr>
                <w:rFonts w:ascii="Times New Roman" w:hAnsi="Times New Roman" w:cs="Times New Roman"/>
                <w:sz w:val="24"/>
                <w:szCs w:val="24"/>
              </w:rPr>
              <w:t xml:space="preserve">izmeklējumu veikšanai, ģimenes ārsts </w:t>
            </w:r>
            <w:r w:rsidR="001C7007">
              <w:rPr>
                <w:rFonts w:ascii="Times New Roman" w:hAnsi="Times New Roman"/>
                <w:sz w:val="24"/>
                <w:szCs w:val="24"/>
              </w:rPr>
              <w:t>aizpilda</w:t>
            </w:r>
            <w:r w:rsidR="001C7007" w:rsidRPr="006E6809">
              <w:rPr>
                <w:rFonts w:ascii="Times New Roman" w:hAnsi="Times New Roman"/>
                <w:sz w:val="24"/>
                <w:szCs w:val="24"/>
              </w:rPr>
              <w:t xml:space="preserve"> izrakstu no stacionārā/ambulatorā pacienta medicīniskās kartes</w:t>
            </w:r>
            <w:r w:rsidR="00615346">
              <w:rPr>
                <w:rFonts w:ascii="Times New Roman" w:hAnsi="Times New Roman"/>
                <w:sz w:val="24"/>
                <w:szCs w:val="24"/>
              </w:rPr>
              <w:t xml:space="preserve"> (veidlapa 027/u) (turpmāk- N</w:t>
            </w:r>
            <w:r w:rsidR="001C7007">
              <w:rPr>
                <w:rFonts w:ascii="Times New Roman" w:hAnsi="Times New Roman"/>
                <w:sz w:val="24"/>
                <w:szCs w:val="24"/>
              </w:rPr>
              <w:t>osūtījums)</w:t>
            </w:r>
            <w:r w:rsidR="001C7007" w:rsidRPr="006E6809">
              <w:rPr>
                <w:rFonts w:ascii="Times New Roman" w:hAnsi="Times New Roman"/>
                <w:sz w:val="24"/>
                <w:szCs w:val="24"/>
              </w:rPr>
              <w:t xml:space="preserve"> saskaņā ar normatīvajiem aktiem par medicīnisko dokumentu lietvedības kārtību, norādot</w:t>
            </w:r>
            <w:r w:rsidR="001C7007">
              <w:rPr>
                <w:rFonts w:ascii="Times New Roman" w:hAnsi="Times New Roman"/>
                <w:sz w:val="24"/>
                <w:szCs w:val="24"/>
              </w:rPr>
              <w:t xml:space="preserve"> nosūtījuma 8.1.punktā (pamatslimība)</w:t>
            </w:r>
            <w:r w:rsidR="001C7007" w:rsidRPr="006E6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7007" w:rsidRPr="00615346">
              <w:rPr>
                <w:rFonts w:ascii="Times New Roman" w:hAnsi="Times New Roman"/>
                <w:b/>
                <w:sz w:val="24"/>
                <w:szCs w:val="24"/>
              </w:rPr>
              <w:t>Z03.5 diagnozes kodu</w:t>
            </w:r>
            <w:r w:rsidR="00A14C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4C1C" w:rsidRPr="00EF2271">
              <w:rPr>
                <w:rFonts w:ascii="Times New Roman" w:hAnsi="Times New Roman"/>
                <w:color w:val="000000"/>
                <w:sz w:val="24"/>
                <w:szCs w:val="24"/>
              </w:rPr>
              <w:t>atbilstoši Starptautiskajam sl</w:t>
            </w:r>
            <w:r w:rsidR="00A14C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imību klasifikatoram </w:t>
            </w:r>
            <w:r w:rsidR="00A14C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(SSK-10) (turpmāk tekstā – SSK-10)</w:t>
            </w:r>
            <w:r w:rsidR="001C7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7007" w:rsidRPr="001C7007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="001C7007">
              <w:rPr>
                <w:rFonts w:ascii="Times New Roman" w:hAnsi="Times New Roman" w:cs="Times New Roman"/>
                <w:sz w:val="24"/>
                <w:szCs w:val="24"/>
              </w:rPr>
              <w:t>Nosūtījuma</w:t>
            </w:r>
            <w:r w:rsidR="001C7007" w:rsidRPr="001C7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7007" w:rsidRPr="001C7007">
              <w:rPr>
                <w:rFonts w:ascii="Times New Roman" w:hAnsi="Times New Roman" w:cs="Times New Roman"/>
                <w:sz w:val="24"/>
                <w:szCs w:val="24"/>
              </w:rPr>
              <w:t xml:space="preserve">labajā augšējā stūrī veic atzīmi: </w:t>
            </w:r>
            <w:r w:rsidR="001C7007" w:rsidRPr="001C7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SCORE (˂1 %); SCORE (1-2 %); SCORE (3-4 %); SCORE (5-9 %); SCORE (≥10 %). </w:t>
            </w:r>
          </w:p>
          <w:p w:rsidR="00E87F7B" w:rsidRPr="00E87F7B" w:rsidRDefault="00E87F7B" w:rsidP="00E87F7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Dienests informē, ka</w:t>
            </w:r>
            <w:r w:rsidR="00CD1C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ar šādi aizpildītu Nosūtījumu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ā</w:t>
            </w:r>
            <w:r w:rsidRPr="00E87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rst</w:t>
            </w:r>
            <w:r w:rsidRPr="00E87F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niecības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  <w:r w:rsidRPr="00E87F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iestāde pacientam, kuru ģimenes ārsts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šo N</w:t>
            </w:r>
            <w:r w:rsidR="00AD08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oteikumu 1.</w:t>
            </w:r>
            <w:r w:rsidRPr="00E87F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pielikumā minētajā kārtībā nosūtījis izmeklējumu veikšanai vai speciālista konsultācijas saņemšanai, nodrošina nepieciešamā pakalpojuma sniegšanu ne vēlāk kā šādā laikposmā (skaitot no dienas, kad pacients vērsies ārstniecības iestādē):</w:t>
            </w:r>
          </w:p>
          <w:p w:rsidR="00AD085E" w:rsidRDefault="00E87F7B" w:rsidP="00AD08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2F4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elektrokardiogrammu</w:t>
            </w:r>
            <w:r w:rsidRPr="00AD08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triju mēnešu laikā (vai viena mēneša laikā, ja </w:t>
            </w:r>
            <w:r w:rsidRPr="00AD0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>ģimenes ārsts nosūtījumā veicis atzīmi par augstu</w:t>
            </w:r>
            <w:r w:rsid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(SCORE (5-9%))</w:t>
            </w:r>
            <w:r w:rsidRPr="00AD0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vai ļoti augstu</w:t>
            </w:r>
            <w:r w:rsid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</w:t>
            </w:r>
            <w:r w:rsidR="00CD1CD0" w:rsidRP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>(</w:t>
            </w:r>
            <w:r w:rsidR="00CD1CD0" w:rsidRPr="00CD1CD0">
              <w:rPr>
                <w:rFonts w:ascii="Times New Roman" w:hAnsi="Times New Roman" w:cs="Times New Roman"/>
                <w:sz w:val="24"/>
                <w:szCs w:val="24"/>
              </w:rPr>
              <w:t>SCORE (≥10 %))</w:t>
            </w:r>
            <w:r w:rsid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SAS risku)</w:t>
            </w:r>
            <w:r w:rsidRPr="00AD0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>;</w:t>
            </w:r>
          </w:p>
          <w:p w:rsidR="00AD085E" w:rsidRPr="00AD085E" w:rsidRDefault="00E87F7B" w:rsidP="00AD08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2F49E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lv-LV"/>
              </w:rPr>
              <w:t>ehokardiogrāfiju</w:t>
            </w:r>
            <w:r w:rsidRPr="00AD0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– sešu mēnešu laikā (vai triju mēnešu laikā, ja ģimenes ārsts nosūtījumā veicis atzīmi </w:t>
            </w:r>
            <w:r w:rsidR="00CD1CD0" w:rsidRPr="00AD0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>par augstu</w:t>
            </w:r>
            <w:r w:rsid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(SCORE (5-9%))</w:t>
            </w:r>
            <w:r w:rsidR="00CD1CD0" w:rsidRPr="00AD0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vai ļoti augstu</w:t>
            </w:r>
            <w:r w:rsid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</w:t>
            </w:r>
            <w:r w:rsidR="00CD1CD0" w:rsidRP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>(</w:t>
            </w:r>
            <w:r w:rsidR="00CD1CD0" w:rsidRPr="00CD1CD0">
              <w:rPr>
                <w:rFonts w:ascii="Times New Roman" w:hAnsi="Times New Roman" w:cs="Times New Roman"/>
                <w:sz w:val="24"/>
                <w:szCs w:val="24"/>
              </w:rPr>
              <w:t>SCORE (≥10 %))</w:t>
            </w:r>
            <w:r w:rsid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SAS risku</w:t>
            </w:r>
            <w:r w:rsidRPr="00AD08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:rsidR="00AD085E" w:rsidRPr="00AD085E" w:rsidRDefault="000943D1" w:rsidP="00AD08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kakla asinsvadu ultrasonogrāfija</w:t>
            </w:r>
            <w:bookmarkStart w:id="0" w:name="_GoBack"/>
            <w:bookmarkEnd w:id="0"/>
            <w:r w:rsidR="00E87F7B" w:rsidRPr="00AD08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sešu mēnešu laikā (vai triju mēnešu laikā, ja ģimenes ārsts nosūtījumā veicis atzīmi </w:t>
            </w:r>
            <w:r w:rsidR="00CD1CD0" w:rsidRPr="00AD0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>par augstu</w:t>
            </w:r>
            <w:r w:rsid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(SCORE (5-9%))</w:t>
            </w:r>
            <w:r w:rsidR="00CD1CD0" w:rsidRPr="00AD0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vai ļoti augstu</w:t>
            </w:r>
            <w:r w:rsid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</w:t>
            </w:r>
            <w:r w:rsidR="00CD1CD0" w:rsidRP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>(</w:t>
            </w:r>
            <w:r w:rsidR="00CD1CD0" w:rsidRPr="00CD1CD0">
              <w:rPr>
                <w:rFonts w:ascii="Times New Roman" w:hAnsi="Times New Roman" w:cs="Times New Roman"/>
                <w:sz w:val="24"/>
                <w:szCs w:val="24"/>
              </w:rPr>
              <w:t>SCORE (≥10 %))</w:t>
            </w:r>
            <w:r w:rsidR="00CD1C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SAS risku</w:t>
            </w:r>
            <w:r w:rsidR="00E87F7B" w:rsidRPr="00AD08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:rsidR="00AD085E" w:rsidRPr="00AD085E" w:rsidRDefault="00E87F7B" w:rsidP="00AD08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2F4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veloergometriju</w:t>
            </w:r>
            <w:r w:rsidRPr="00AD08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triju mēnešu laikā;</w:t>
            </w:r>
          </w:p>
          <w:p w:rsidR="0098102D" w:rsidRDefault="00E87F7B" w:rsidP="00CD1C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</w:pPr>
            <w:r w:rsidRPr="002F49E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lv-LV"/>
              </w:rPr>
              <w:t>speciālista (kardiologa, asinsvadu ķirurga) konsultāciju</w:t>
            </w:r>
            <w:r w:rsidRPr="00AD0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 xml:space="preserve"> – viena mēneša laikā, ja pacientam ir indikācijas pakalpojuma saņemšanai saskaņā ar </w:t>
            </w:r>
            <w:r w:rsidR="00AD0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>N</w:t>
            </w:r>
            <w:r w:rsidRPr="00AD08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lv-LV"/>
              </w:rPr>
              <w:t>oteikumu 1.pielikumu.</w:t>
            </w:r>
          </w:p>
          <w:p w:rsidR="002F49E1" w:rsidRPr="002A41E7" w:rsidRDefault="002F49E1" w:rsidP="002F49E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Aizpildot ambulatoros pacientu talonus, </w:t>
            </w:r>
            <w:r w:rsidR="00FC761F">
              <w:rPr>
                <w:rFonts w:ascii="Times New Roman" w:hAnsi="Times New Roman"/>
                <w:sz w:val="24"/>
                <w:szCs w:val="24"/>
              </w:rPr>
              <w:t xml:space="preserve">sekundāro ambulatoro </w:t>
            </w:r>
            <w:r w:rsidR="00A14C1C">
              <w:rPr>
                <w:rFonts w:ascii="Times New Roman" w:hAnsi="Times New Roman"/>
                <w:sz w:val="24"/>
                <w:szCs w:val="24"/>
              </w:rPr>
              <w:t>veselības aprūpes pakalpoj</w:t>
            </w:r>
            <w:r w:rsidR="00FC761F">
              <w:rPr>
                <w:rFonts w:ascii="Times New Roman" w:hAnsi="Times New Roman"/>
                <w:sz w:val="24"/>
                <w:szCs w:val="24"/>
              </w:rPr>
              <w:t>umu sniedzēji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norāda </w:t>
            </w:r>
            <w:proofErr w:type="spellStart"/>
            <w:r w:rsidR="00A14C1C">
              <w:rPr>
                <w:rFonts w:ascii="Times New Roman" w:hAnsi="Times New Roman"/>
                <w:sz w:val="24"/>
                <w:szCs w:val="24"/>
              </w:rPr>
              <w:t>diagnozu</w:t>
            </w:r>
            <w:proofErr w:type="spellEnd"/>
            <w:r w:rsidR="00A14C1C">
              <w:rPr>
                <w:rFonts w:ascii="Times New Roman" w:hAnsi="Times New Roman"/>
                <w:sz w:val="24"/>
                <w:szCs w:val="24"/>
              </w:rPr>
              <w:t xml:space="preserve"> kodu Z03.5 atbilstoši SSK-10 un </w:t>
            </w:r>
            <w:r w:rsidRPr="00296E61">
              <w:rPr>
                <w:rFonts w:ascii="Times New Roman" w:hAnsi="Times New Roman"/>
                <w:b/>
                <w:sz w:val="24"/>
                <w:szCs w:val="24"/>
              </w:rPr>
              <w:t>pacientu grupu (</w:t>
            </w:r>
            <w:r w:rsidR="00296E61" w:rsidRPr="00296E61">
              <w:rPr>
                <w:rFonts w:ascii="Times New Roman" w:hAnsi="Times New Roman"/>
                <w:b/>
                <w:sz w:val="24"/>
                <w:szCs w:val="24"/>
              </w:rPr>
              <w:t>SCO – Izmeklējumi SAS riska noteikšanai noteiktā vecumā (SCORE)</w:t>
            </w:r>
            <w:r w:rsidRPr="00296E6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2F49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saskaņā </w:t>
            </w:r>
            <w:r w:rsidR="003306DE">
              <w:rPr>
                <w:rFonts w:ascii="Times New Roman" w:hAnsi="Times New Roman"/>
                <w:sz w:val="24"/>
                <w:szCs w:val="24"/>
              </w:rPr>
              <w:t xml:space="preserve">ar pacientu grupu klasifikatoru, kā arī </w:t>
            </w:r>
            <w:r w:rsidR="00A14C1C">
              <w:rPr>
                <w:rFonts w:ascii="Times New Roman" w:hAnsi="Times New Roman"/>
                <w:sz w:val="24"/>
                <w:szCs w:val="24"/>
              </w:rPr>
              <w:t xml:space="preserve">veiktās manipulācijas, kas </w:t>
            </w:r>
            <w:r w:rsidR="00A14C1C" w:rsidRPr="00B927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tiks apmaksāt</w:t>
            </w:r>
            <w:r w:rsidR="00A14C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</w:t>
            </w:r>
            <w:r w:rsidR="00A14C1C" w:rsidRPr="00B927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atbilstoši veiktajam apjomam papildus līgumā norādīt</w:t>
            </w:r>
            <w:r w:rsidR="00DA0B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ajam finansējuma apjomam </w:t>
            </w:r>
            <w:r w:rsidR="002A41E7" w:rsidRPr="002A4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saskaņā </w:t>
            </w:r>
            <w:r w:rsidR="002A4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 </w:t>
            </w:r>
            <w:r w:rsidR="002A41E7" w:rsidRPr="002A41E7">
              <w:rPr>
                <w:rFonts w:ascii="Times New Roman" w:hAnsi="Times New Roman"/>
                <w:color w:val="000000"/>
                <w:sz w:val="24"/>
                <w:szCs w:val="24"/>
              </w:rPr>
              <w:t>2013.gada 17.decemb</w:t>
            </w:r>
            <w:r w:rsidR="002A41E7">
              <w:rPr>
                <w:rFonts w:ascii="Times New Roman" w:hAnsi="Times New Roman"/>
                <w:color w:val="000000"/>
                <w:sz w:val="24"/>
                <w:szCs w:val="24"/>
              </w:rPr>
              <w:t>ra Ministru kabineta noteikumu</w:t>
            </w:r>
            <w:r w:rsidR="002A41E7" w:rsidRPr="002A4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Nr.1529 ”Veselības aprūpes</w:t>
            </w:r>
            <w:r w:rsidR="002A4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organizēšanas un finansēšanas kārtība” 16.pielikuma ”</w:t>
            </w:r>
            <w:r w:rsidR="002A41E7" w:rsidRPr="002A41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Veselības aprūpes pakalpojumu tarifi par profilakses, diagnostikas, ārstēšanas un rehabilitācijas pakalpojumiem”</w:t>
            </w:r>
            <w:r w:rsidR="002A41E7" w:rsidRPr="002A41E7">
              <w:rPr>
                <w:rFonts w:ascii="Arial" w:hAnsi="Arial" w:cs="Arial"/>
                <w:b/>
                <w:bCs/>
                <w:sz w:val="27"/>
                <w:szCs w:val="27"/>
                <w:shd w:val="clear" w:color="auto" w:fill="FFFFFF"/>
              </w:rPr>
              <w:t xml:space="preserve"> </w:t>
            </w:r>
            <w:r w:rsidR="002A41E7">
              <w:rPr>
                <w:rFonts w:ascii="Times New Roman" w:hAnsi="Times New Roman"/>
                <w:color w:val="000000"/>
                <w:sz w:val="24"/>
                <w:szCs w:val="24"/>
              </w:rPr>
              <w:t>noteiktajiem tarifiem</w:t>
            </w:r>
            <w:r w:rsidR="00A14C1C" w:rsidRPr="002A41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14C1C" w:rsidRPr="002F49E1" w:rsidRDefault="00A14C1C" w:rsidP="00A14C1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Sekundāro ambulatoro veselības pakalpojumu sniedzēju un </w:t>
            </w:r>
            <w:r w:rsidRPr="00DB1C57">
              <w:rPr>
                <w:rFonts w:ascii="Times New Roman" w:hAnsi="Times New Roman"/>
                <w:sz w:val="24"/>
                <w:szCs w:val="24"/>
              </w:rPr>
              <w:t xml:space="preserve">Dienesta savstarpēji noslēgtā līgumā “Par </w:t>
            </w:r>
            <w:r>
              <w:rPr>
                <w:rFonts w:ascii="Times New Roman" w:hAnsi="Times New Roman"/>
                <w:sz w:val="24"/>
                <w:szCs w:val="24"/>
              </w:rPr>
              <w:t>sekundāro ambulatoro</w:t>
            </w:r>
            <w:r w:rsidRPr="00DB1C57">
              <w:rPr>
                <w:rFonts w:ascii="Times New Roman" w:hAnsi="Times New Roman"/>
                <w:sz w:val="24"/>
                <w:szCs w:val="24"/>
              </w:rPr>
              <w:t xml:space="preserve"> veselības aprūpes pakalpojumu sniegšanu un apmaksu”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tiks veikti grozījumi</w:t>
            </w:r>
            <w:r w:rsidR="00FB31D4">
              <w:rPr>
                <w:rFonts w:ascii="Times New Roman" w:hAnsi="Times New Roman"/>
                <w:sz w:val="24"/>
                <w:szCs w:val="24"/>
              </w:rPr>
              <w:t xml:space="preserve"> atbilstoši Noteikumos atrunātajai kārtībai</w:t>
            </w:r>
            <w:r w:rsidRPr="00DB1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C219BB" w:rsidRPr="005F1C78" w:rsidRDefault="005F1C78" w:rsidP="005F1C78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Noteikumi ir nozīmīgs solis SAS primārās profilakses ieviešani primārās profilakses līmenī, tāpēc Dienests cer uz turpmāku sadarbību SAS profilakses kārtības īstenošanā.</w:t>
            </w:r>
          </w:p>
        </w:tc>
      </w:tr>
      <w:tr w:rsidR="00687FF2" w:rsidTr="00644933">
        <w:tc>
          <w:tcPr>
            <w:tcW w:w="9071" w:type="dxa"/>
            <w:gridSpan w:val="3"/>
          </w:tcPr>
          <w:p w:rsidR="00687FF2" w:rsidRDefault="00687FF2" w:rsidP="00AD085E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5F57A5" w:rsidRDefault="005F57A5" w:rsidP="005F5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49"/>
        <w:gridCol w:w="284"/>
        <w:gridCol w:w="4120"/>
      </w:tblGrid>
      <w:tr w:rsidR="005F57A5">
        <w:tc>
          <w:tcPr>
            <w:tcW w:w="4649" w:type="dxa"/>
          </w:tcPr>
          <w:p w:rsidR="005F57A5" w:rsidRDefault="007F5710" w:rsidP="007F5710">
            <w:pPr>
              <w:keepLines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Teritoriālās nodaļas vadītājs</w:t>
            </w:r>
          </w:p>
        </w:tc>
        <w:tc>
          <w:tcPr>
            <w:tcW w:w="284" w:type="dxa"/>
          </w:tcPr>
          <w:p w:rsidR="005F57A5" w:rsidRDefault="005F57A5" w:rsidP="005F57A5">
            <w:pPr>
              <w:keepLines/>
              <w:autoSpaceDE w:val="0"/>
              <w:autoSpaceDN w:val="0"/>
              <w:adjustRightInd w:val="0"/>
              <w:spacing w:after="0" w:line="36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</w:tcPr>
          <w:p w:rsidR="005F57A5" w:rsidRDefault="005F57A5" w:rsidP="005F57A5">
            <w:pPr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57A5" w:rsidRDefault="005F57A5" w:rsidP="005F57A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p w:rsidR="000F07D4" w:rsidRDefault="000F07D4" w:rsidP="005F57A5"/>
    <w:sectPr w:rsidR="000F07D4" w:rsidSect="005F57A5">
      <w:footerReference w:type="even" r:id="rId10"/>
      <w:footerReference w:type="default" r:id="rId11"/>
      <w:pgSz w:w="11907" w:h="16839"/>
      <w:pgMar w:top="567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1BA" w:rsidRDefault="00AE01BA" w:rsidP="005F57A5">
      <w:pPr>
        <w:spacing w:after="0" w:line="240" w:lineRule="auto"/>
      </w:pPr>
      <w:r>
        <w:separator/>
      </w:r>
    </w:p>
  </w:endnote>
  <w:endnote w:type="continuationSeparator" w:id="0">
    <w:p w:rsidR="00AE01BA" w:rsidRDefault="00AE01BA" w:rsidP="005F5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7A5" w:rsidRDefault="005F57A5" w:rsidP="001B6F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5F57A5" w:rsidRDefault="005F5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7A5" w:rsidRDefault="005F57A5" w:rsidP="001B6F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943D1">
      <w:rPr>
        <w:rStyle w:val="PageNumber"/>
        <w:noProof/>
      </w:rPr>
      <w:t>2</w:t>
    </w:r>
    <w:r>
      <w:rPr>
        <w:rStyle w:val="PageNumber"/>
      </w:rPr>
      <w:fldChar w:fldCharType="end"/>
    </w:r>
  </w:p>
  <w:p w:rsidR="005F57A5" w:rsidRDefault="005F5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1BA" w:rsidRDefault="00AE01BA" w:rsidP="005F57A5">
      <w:pPr>
        <w:spacing w:after="0" w:line="240" w:lineRule="auto"/>
      </w:pPr>
      <w:r>
        <w:separator/>
      </w:r>
    </w:p>
  </w:footnote>
  <w:footnote w:type="continuationSeparator" w:id="0">
    <w:p w:rsidR="00AE01BA" w:rsidRDefault="00AE01BA" w:rsidP="005F5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3080"/>
    <w:multiLevelType w:val="hybridMultilevel"/>
    <w:tmpl w:val="A1F02046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" w15:restartNumberingAfterBreak="0">
    <w:nsid w:val="0C5F4C2C"/>
    <w:multiLevelType w:val="hybridMultilevel"/>
    <w:tmpl w:val="E21843E4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CAB40C8"/>
    <w:multiLevelType w:val="hybridMultilevel"/>
    <w:tmpl w:val="148C9040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2656E74"/>
    <w:multiLevelType w:val="hybridMultilevel"/>
    <w:tmpl w:val="71369458"/>
    <w:lvl w:ilvl="0" w:tplc="0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4A10687"/>
    <w:multiLevelType w:val="hybridMultilevel"/>
    <w:tmpl w:val="31061A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9860C0"/>
    <w:multiLevelType w:val="hybridMultilevel"/>
    <w:tmpl w:val="D124E8E8"/>
    <w:lvl w:ilvl="0" w:tplc="042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A335856"/>
    <w:multiLevelType w:val="hybridMultilevel"/>
    <w:tmpl w:val="3CB079B6"/>
    <w:lvl w:ilvl="0" w:tplc="042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51FB63AA"/>
    <w:multiLevelType w:val="hybridMultilevel"/>
    <w:tmpl w:val="19A07542"/>
    <w:lvl w:ilvl="0" w:tplc="CCA68524">
      <w:start w:val="1"/>
      <w:numFmt w:val="decimal"/>
      <w:lvlText w:val="%1."/>
      <w:lvlJc w:val="left"/>
      <w:pPr>
        <w:ind w:left="1434" w:hanging="360"/>
      </w:pPr>
      <w:rPr>
        <w:rFonts w:hint="default"/>
        <w:b w:val="0"/>
        <w:sz w:val="14"/>
        <w:szCs w:val="1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A5"/>
    <w:rsid w:val="00025797"/>
    <w:rsid w:val="00080465"/>
    <w:rsid w:val="000943D1"/>
    <w:rsid w:val="00095FDE"/>
    <w:rsid w:val="000F07D4"/>
    <w:rsid w:val="000F62CC"/>
    <w:rsid w:val="000F67B3"/>
    <w:rsid w:val="000F7677"/>
    <w:rsid w:val="00132E8A"/>
    <w:rsid w:val="00176A4E"/>
    <w:rsid w:val="001C7007"/>
    <w:rsid w:val="001F5F41"/>
    <w:rsid w:val="00204ADD"/>
    <w:rsid w:val="00251504"/>
    <w:rsid w:val="00296E61"/>
    <w:rsid w:val="002A41E7"/>
    <w:rsid w:val="002F3242"/>
    <w:rsid w:val="002F49E1"/>
    <w:rsid w:val="003226FD"/>
    <w:rsid w:val="003306DE"/>
    <w:rsid w:val="003430D3"/>
    <w:rsid w:val="0034568F"/>
    <w:rsid w:val="00375239"/>
    <w:rsid w:val="003A0575"/>
    <w:rsid w:val="003C5866"/>
    <w:rsid w:val="003D069B"/>
    <w:rsid w:val="003D4618"/>
    <w:rsid w:val="00432873"/>
    <w:rsid w:val="00481C88"/>
    <w:rsid w:val="00483FBA"/>
    <w:rsid w:val="004C5456"/>
    <w:rsid w:val="00510F20"/>
    <w:rsid w:val="00544F4D"/>
    <w:rsid w:val="005513A3"/>
    <w:rsid w:val="00557941"/>
    <w:rsid w:val="00591FEA"/>
    <w:rsid w:val="005C3CE8"/>
    <w:rsid w:val="005F1C78"/>
    <w:rsid w:val="005F57A5"/>
    <w:rsid w:val="005F71F1"/>
    <w:rsid w:val="00615346"/>
    <w:rsid w:val="00625622"/>
    <w:rsid w:val="00627DD8"/>
    <w:rsid w:val="00644933"/>
    <w:rsid w:val="00647533"/>
    <w:rsid w:val="00661B5B"/>
    <w:rsid w:val="00687FF2"/>
    <w:rsid w:val="006F4F16"/>
    <w:rsid w:val="00772015"/>
    <w:rsid w:val="007F5710"/>
    <w:rsid w:val="00806978"/>
    <w:rsid w:val="0081304E"/>
    <w:rsid w:val="008D0839"/>
    <w:rsid w:val="0095073E"/>
    <w:rsid w:val="0096211E"/>
    <w:rsid w:val="0098102D"/>
    <w:rsid w:val="009D66F7"/>
    <w:rsid w:val="00A14C1C"/>
    <w:rsid w:val="00A150D8"/>
    <w:rsid w:val="00A26BB8"/>
    <w:rsid w:val="00A87AB3"/>
    <w:rsid w:val="00AD085E"/>
    <w:rsid w:val="00AE01BA"/>
    <w:rsid w:val="00AE46B8"/>
    <w:rsid w:val="00C219BB"/>
    <w:rsid w:val="00C825FF"/>
    <w:rsid w:val="00CD1CD0"/>
    <w:rsid w:val="00CE50AE"/>
    <w:rsid w:val="00CF7053"/>
    <w:rsid w:val="00D17E7C"/>
    <w:rsid w:val="00D31C55"/>
    <w:rsid w:val="00DA0BF3"/>
    <w:rsid w:val="00E42BC6"/>
    <w:rsid w:val="00E87F7B"/>
    <w:rsid w:val="00EC2969"/>
    <w:rsid w:val="00EE4A59"/>
    <w:rsid w:val="00EF6B18"/>
    <w:rsid w:val="00F63583"/>
    <w:rsid w:val="00F64D19"/>
    <w:rsid w:val="00FB31D4"/>
    <w:rsid w:val="00FC761F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FCD7A"/>
  <w15:docId w15:val="{CA413A74-8508-4696-99B9-285EEA03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7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7A5"/>
  </w:style>
  <w:style w:type="paragraph" w:styleId="Footer">
    <w:name w:val="footer"/>
    <w:basedOn w:val="Normal"/>
    <w:link w:val="FooterChar"/>
    <w:uiPriority w:val="99"/>
    <w:unhideWhenUsed/>
    <w:rsid w:val="005F57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7A5"/>
  </w:style>
  <w:style w:type="character" w:styleId="PageNumber">
    <w:name w:val="page number"/>
    <w:basedOn w:val="DefaultParagraphFont"/>
    <w:uiPriority w:val="99"/>
    <w:semiHidden/>
    <w:unhideWhenUsed/>
    <w:rsid w:val="005F57A5"/>
  </w:style>
  <w:style w:type="character" w:styleId="Hyperlink">
    <w:name w:val="Hyperlink"/>
    <w:basedOn w:val="DefaultParagraphFont"/>
    <w:uiPriority w:val="99"/>
    <w:unhideWhenUsed/>
    <w:rsid w:val="00C219B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9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9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9BB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7F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1C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C8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C8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C8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FBA"/>
    <w:pPr>
      <w:spacing w:after="160"/>
    </w:pPr>
    <w:rPr>
      <w:rFonts w:eastAsiaTheme="minorHAnsi"/>
      <w:b/>
      <w:bCs/>
      <w:sz w:val="20"/>
      <w:szCs w:val="20"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FBA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2DF73-03C1-476C-94CD-E20D1E4D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3535</Words>
  <Characters>2015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NVD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Melišus</dc:creator>
  <cp:lastModifiedBy>Ieva Melišus</cp:lastModifiedBy>
  <cp:revision>6</cp:revision>
  <dcterms:created xsi:type="dcterms:W3CDTF">2018-08-02T14:54:00Z</dcterms:created>
  <dcterms:modified xsi:type="dcterms:W3CDTF">2018-12-07T16:15:00Z</dcterms:modified>
</cp:coreProperties>
</file>