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679D93CC" w14:textId="7FD210C3" w:rsidR="000F02BA"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6546551" w:history="1">
            <w:r w:rsidR="000F02BA" w:rsidRPr="00FF5339">
              <w:rPr>
                <w:rStyle w:val="Hyperlink"/>
                <w:noProof/>
              </w:rPr>
              <w:t>Izmaiņas Manipulāciju sarakstā ar 01.07.2021.</w:t>
            </w:r>
            <w:r w:rsidR="000F02BA">
              <w:rPr>
                <w:noProof/>
                <w:webHidden/>
              </w:rPr>
              <w:tab/>
            </w:r>
            <w:r w:rsidR="000F02BA">
              <w:rPr>
                <w:noProof/>
                <w:webHidden/>
              </w:rPr>
              <w:fldChar w:fldCharType="begin"/>
            </w:r>
            <w:r w:rsidR="000F02BA">
              <w:rPr>
                <w:noProof/>
                <w:webHidden/>
              </w:rPr>
              <w:instrText xml:space="preserve"> PAGEREF _Toc76546551 \h </w:instrText>
            </w:r>
            <w:r w:rsidR="000F02BA">
              <w:rPr>
                <w:noProof/>
                <w:webHidden/>
              </w:rPr>
            </w:r>
            <w:r w:rsidR="000F02BA">
              <w:rPr>
                <w:noProof/>
                <w:webHidden/>
              </w:rPr>
              <w:fldChar w:fldCharType="separate"/>
            </w:r>
            <w:r w:rsidR="000F02BA">
              <w:rPr>
                <w:noProof/>
                <w:webHidden/>
              </w:rPr>
              <w:t>3</w:t>
            </w:r>
            <w:r w:rsidR="000F02BA">
              <w:rPr>
                <w:noProof/>
                <w:webHidden/>
              </w:rPr>
              <w:fldChar w:fldCharType="end"/>
            </w:r>
          </w:hyperlink>
        </w:p>
        <w:p w14:paraId="233BE396" w14:textId="0D544432"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2" w:history="1">
            <w:r w:rsidR="000F02BA" w:rsidRPr="00FF5339">
              <w:rPr>
                <w:rStyle w:val="Hyperlink"/>
                <w:noProof/>
              </w:rPr>
              <w:t>Izmaiņas Manipulāciju sarakstā ar 01.06.2021.</w:t>
            </w:r>
            <w:r w:rsidR="000F02BA">
              <w:rPr>
                <w:noProof/>
                <w:webHidden/>
              </w:rPr>
              <w:tab/>
            </w:r>
            <w:r w:rsidR="000F02BA">
              <w:rPr>
                <w:noProof/>
                <w:webHidden/>
              </w:rPr>
              <w:fldChar w:fldCharType="begin"/>
            </w:r>
            <w:r w:rsidR="000F02BA">
              <w:rPr>
                <w:noProof/>
                <w:webHidden/>
              </w:rPr>
              <w:instrText xml:space="preserve"> PAGEREF _Toc76546552 \h </w:instrText>
            </w:r>
            <w:r w:rsidR="000F02BA">
              <w:rPr>
                <w:noProof/>
                <w:webHidden/>
              </w:rPr>
            </w:r>
            <w:r w:rsidR="000F02BA">
              <w:rPr>
                <w:noProof/>
                <w:webHidden/>
              </w:rPr>
              <w:fldChar w:fldCharType="separate"/>
            </w:r>
            <w:r w:rsidR="000F02BA">
              <w:rPr>
                <w:noProof/>
                <w:webHidden/>
              </w:rPr>
              <w:t>108</w:t>
            </w:r>
            <w:r w:rsidR="000F02BA">
              <w:rPr>
                <w:noProof/>
                <w:webHidden/>
              </w:rPr>
              <w:fldChar w:fldCharType="end"/>
            </w:r>
          </w:hyperlink>
        </w:p>
        <w:p w14:paraId="4B96A93D" w14:textId="7D864BFF"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3" w:history="1">
            <w:r w:rsidR="000F02BA" w:rsidRPr="00FF5339">
              <w:rPr>
                <w:rStyle w:val="Hyperlink"/>
                <w:noProof/>
              </w:rPr>
              <w:t>Izmaiņas Manipulāciju sarakstā ar 01.05.2021.</w:t>
            </w:r>
            <w:r w:rsidR="000F02BA">
              <w:rPr>
                <w:noProof/>
                <w:webHidden/>
              </w:rPr>
              <w:tab/>
            </w:r>
            <w:r w:rsidR="000F02BA">
              <w:rPr>
                <w:noProof/>
                <w:webHidden/>
              </w:rPr>
              <w:fldChar w:fldCharType="begin"/>
            </w:r>
            <w:r w:rsidR="000F02BA">
              <w:rPr>
                <w:noProof/>
                <w:webHidden/>
              </w:rPr>
              <w:instrText xml:space="preserve"> PAGEREF _Toc76546553 \h </w:instrText>
            </w:r>
            <w:r w:rsidR="000F02BA">
              <w:rPr>
                <w:noProof/>
                <w:webHidden/>
              </w:rPr>
            </w:r>
            <w:r w:rsidR="000F02BA">
              <w:rPr>
                <w:noProof/>
                <w:webHidden/>
              </w:rPr>
              <w:fldChar w:fldCharType="separate"/>
            </w:r>
            <w:r w:rsidR="000F02BA">
              <w:rPr>
                <w:noProof/>
                <w:webHidden/>
              </w:rPr>
              <w:t>113</w:t>
            </w:r>
            <w:r w:rsidR="000F02BA">
              <w:rPr>
                <w:noProof/>
                <w:webHidden/>
              </w:rPr>
              <w:fldChar w:fldCharType="end"/>
            </w:r>
          </w:hyperlink>
        </w:p>
        <w:p w14:paraId="6DE76864" w14:textId="15C4F6F4"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4" w:history="1">
            <w:r w:rsidR="000F02BA" w:rsidRPr="00FF5339">
              <w:rPr>
                <w:rStyle w:val="Hyperlink"/>
                <w:noProof/>
              </w:rPr>
              <w:t>Izmaiņas Manipulāciju sarakstā ar 22.02.2021.</w:t>
            </w:r>
            <w:r w:rsidR="000F02BA">
              <w:rPr>
                <w:noProof/>
                <w:webHidden/>
              </w:rPr>
              <w:tab/>
            </w:r>
            <w:r w:rsidR="000F02BA">
              <w:rPr>
                <w:noProof/>
                <w:webHidden/>
              </w:rPr>
              <w:fldChar w:fldCharType="begin"/>
            </w:r>
            <w:r w:rsidR="000F02BA">
              <w:rPr>
                <w:noProof/>
                <w:webHidden/>
              </w:rPr>
              <w:instrText xml:space="preserve"> PAGEREF _Toc76546554 \h </w:instrText>
            </w:r>
            <w:r w:rsidR="000F02BA">
              <w:rPr>
                <w:noProof/>
                <w:webHidden/>
              </w:rPr>
            </w:r>
            <w:r w:rsidR="000F02BA">
              <w:rPr>
                <w:noProof/>
                <w:webHidden/>
              </w:rPr>
              <w:fldChar w:fldCharType="separate"/>
            </w:r>
            <w:r w:rsidR="000F02BA">
              <w:rPr>
                <w:noProof/>
                <w:webHidden/>
              </w:rPr>
              <w:t>118</w:t>
            </w:r>
            <w:r w:rsidR="000F02BA">
              <w:rPr>
                <w:noProof/>
                <w:webHidden/>
              </w:rPr>
              <w:fldChar w:fldCharType="end"/>
            </w:r>
          </w:hyperlink>
        </w:p>
        <w:p w14:paraId="619CBF5C" w14:textId="40603A8E"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5" w:history="1">
            <w:r w:rsidR="000F02BA" w:rsidRPr="00FF5339">
              <w:rPr>
                <w:rStyle w:val="Hyperlink"/>
                <w:noProof/>
              </w:rPr>
              <w:t>Izmaiņas Manipulāciju sarakstā no 19.04.2021.</w:t>
            </w:r>
            <w:r w:rsidR="000F02BA">
              <w:rPr>
                <w:noProof/>
                <w:webHidden/>
              </w:rPr>
              <w:tab/>
            </w:r>
            <w:r w:rsidR="000F02BA">
              <w:rPr>
                <w:noProof/>
                <w:webHidden/>
              </w:rPr>
              <w:fldChar w:fldCharType="begin"/>
            </w:r>
            <w:r w:rsidR="000F02BA">
              <w:rPr>
                <w:noProof/>
                <w:webHidden/>
              </w:rPr>
              <w:instrText xml:space="preserve"> PAGEREF _Toc76546555 \h </w:instrText>
            </w:r>
            <w:r w:rsidR="000F02BA">
              <w:rPr>
                <w:noProof/>
                <w:webHidden/>
              </w:rPr>
            </w:r>
            <w:r w:rsidR="000F02BA">
              <w:rPr>
                <w:noProof/>
                <w:webHidden/>
              </w:rPr>
              <w:fldChar w:fldCharType="separate"/>
            </w:r>
            <w:r w:rsidR="000F02BA">
              <w:rPr>
                <w:noProof/>
                <w:webHidden/>
              </w:rPr>
              <w:t>121</w:t>
            </w:r>
            <w:r w:rsidR="000F02BA">
              <w:rPr>
                <w:noProof/>
                <w:webHidden/>
              </w:rPr>
              <w:fldChar w:fldCharType="end"/>
            </w:r>
          </w:hyperlink>
        </w:p>
        <w:p w14:paraId="55661027" w14:textId="385BA6A5"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6" w:history="1">
            <w:r w:rsidR="000F02BA" w:rsidRPr="00FF5339">
              <w:rPr>
                <w:rStyle w:val="Hyperlink"/>
                <w:noProof/>
              </w:rPr>
              <w:t>Izmaiņas Manipulāciju sarakstā no 01.04.2021.</w:t>
            </w:r>
            <w:r w:rsidR="000F02BA">
              <w:rPr>
                <w:noProof/>
                <w:webHidden/>
              </w:rPr>
              <w:tab/>
            </w:r>
            <w:r w:rsidR="000F02BA">
              <w:rPr>
                <w:noProof/>
                <w:webHidden/>
              </w:rPr>
              <w:fldChar w:fldCharType="begin"/>
            </w:r>
            <w:r w:rsidR="000F02BA">
              <w:rPr>
                <w:noProof/>
                <w:webHidden/>
              </w:rPr>
              <w:instrText xml:space="preserve"> PAGEREF _Toc76546556 \h </w:instrText>
            </w:r>
            <w:r w:rsidR="000F02BA">
              <w:rPr>
                <w:noProof/>
                <w:webHidden/>
              </w:rPr>
            </w:r>
            <w:r w:rsidR="000F02BA">
              <w:rPr>
                <w:noProof/>
                <w:webHidden/>
              </w:rPr>
              <w:fldChar w:fldCharType="separate"/>
            </w:r>
            <w:r w:rsidR="000F02BA">
              <w:rPr>
                <w:noProof/>
                <w:webHidden/>
              </w:rPr>
              <w:t>123</w:t>
            </w:r>
            <w:r w:rsidR="000F02BA">
              <w:rPr>
                <w:noProof/>
                <w:webHidden/>
              </w:rPr>
              <w:fldChar w:fldCharType="end"/>
            </w:r>
          </w:hyperlink>
        </w:p>
        <w:p w14:paraId="478678F1" w14:textId="6B0C3BE0"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7" w:history="1">
            <w:r w:rsidR="000F02BA" w:rsidRPr="00FF5339">
              <w:rPr>
                <w:rStyle w:val="Hyperlink"/>
                <w:noProof/>
              </w:rPr>
              <w:t>Izmaiņas Manipulāciju sarakstā no 01.01.2021.</w:t>
            </w:r>
            <w:r w:rsidR="000F02BA">
              <w:rPr>
                <w:noProof/>
                <w:webHidden/>
              </w:rPr>
              <w:tab/>
            </w:r>
            <w:r w:rsidR="000F02BA">
              <w:rPr>
                <w:noProof/>
                <w:webHidden/>
              </w:rPr>
              <w:fldChar w:fldCharType="begin"/>
            </w:r>
            <w:r w:rsidR="000F02BA">
              <w:rPr>
                <w:noProof/>
                <w:webHidden/>
              </w:rPr>
              <w:instrText xml:space="preserve"> PAGEREF _Toc76546557 \h </w:instrText>
            </w:r>
            <w:r w:rsidR="000F02BA">
              <w:rPr>
                <w:noProof/>
                <w:webHidden/>
              </w:rPr>
            </w:r>
            <w:r w:rsidR="000F02BA">
              <w:rPr>
                <w:noProof/>
                <w:webHidden/>
              </w:rPr>
              <w:fldChar w:fldCharType="separate"/>
            </w:r>
            <w:r w:rsidR="000F02BA">
              <w:rPr>
                <w:noProof/>
                <w:webHidden/>
              </w:rPr>
              <w:t>175</w:t>
            </w:r>
            <w:r w:rsidR="000F02BA">
              <w:rPr>
                <w:noProof/>
                <w:webHidden/>
              </w:rPr>
              <w:fldChar w:fldCharType="end"/>
            </w:r>
          </w:hyperlink>
        </w:p>
        <w:p w14:paraId="0CDA880D" w14:textId="2B719306"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8" w:history="1">
            <w:r w:rsidR="000F02BA" w:rsidRPr="00FF5339">
              <w:rPr>
                <w:rStyle w:val="Hyperlink"/>
                <w:noProof/>
              </w:rPr>
              <w:t>Izmaiņas Manipulāciju sarakstā no 01.10.2020</w:t>
            </w:r>
            <w:r w:rsidR="000F02BA">
              <w:rPr>
                <w:noProof/>
                <w:webHidden/>
              </w:rPr>
              <w:tab/>
            </w:r>
            <w:r w:rsidR="000F02BA">
              <w:rPr>
                <w:noProof/>
                <w:webHidden/>
              </w:rPr>
              <w:fldChar w:fldCharType="begin"/>
            </w:r>
            <w:r w:rsidR="000F02BA">
              <w:rPr>
                <w:noProof/>
                <w:webHidden/>
              </w:rPr>
              <w:instrText xml:space="preserve"> PAGEREF _Toc76546558 \h </w:instrText>
            </w:r>
            <w:r w:rsidR="000F02BA">
              <w:rPr>
                <w:noProof/>
                <w:webHidden/>
              </w:rPr>
            </w:r>
            <w:r w:rsidR="000F02BA">
              <w:rPr>
                <w:noProof/>
                <w:webHidden/>
              </w:rPr>
              <w:fldChar w:fldCharType="separate"/>
            </w:r>
            <w:r w:rsidR="000F02BA">
              <w:rPr>
                <w:noProof/>
                <w:webHidden/>
              </w:rPr>
              <w:t>247</w:t>
            </w:r>
            <w:r w:rsidR="000F02BA">
              <w:rPr>
                <w:noProof/>
                <w:webHidden/>
              </w:rPr>
              <w:fldChar w:fldCharType="end"/>
            </w:r>
          </w:hyperlink>
        </w:p>
        <w:p w14:paraId="36A20DAD" w14:textId="02CB3B43"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59" w:history="1">
            <w:r w:rsidR="000F02BA" w:rsidRPr="00FF5339">
              <w:rPr>
                <w:rStyle w:val="Hyperlink"/>
                <w:noProof/>
              </w:rPr>
              <w:t>Izmaiņas Manipulāciju sarakstā no 01.07.2020</w:t>
            </w:r>
            <w:r w:rsidR="000F02BA">
              <w:rPr>
                <w:noProof/>
                <w:webHidden/>
              </w:rPr>
              <w:tab/>
            </w:r>
            <w:r w:rsidR="000F02BA">
              <w:rPr>
                <w:noProof/>
                <w:webHidden/>
              </w:rPr>
              <w:fldChar w:fldCharType="begin"/>
            </w:r>
            <w:r w:rsidR="000F02BA">
              <w:rPr>
                <w:noProof/>
                <w:webHidden/>
              </w:rPr>
              <w:instrText xml:space="preserve"> PAGEREF _Toc76546559 \h </w:instrText>
            </w:r>
            <w:r w:rsidR="000F02BA">
              <w:rPr>
                <w:noProof/>
                <w:webHidden/>
              </w:rPr>
            </w:r>
            <w:r w:rsidR="000F02BA">
              <w:rPr>
                <w:noProof/>
                <w:webHidden/>
              </w:rPr>
              <w:fldChar w:fldCharType="separate"/>
            </w:r>
            <w:r w:rsidR="000F02BA">
              <w:rPr>
                <w:noProof/>
                <w:webHidden/>
              </w:rPr>
              <w:t>280</w:t>
            </w:r>
            <w:r w:rsidR="000F02BA">
              <w:rPr>
                <w:noProof/>
                <w:webHidden/>
              </w:rPr>
              <w:fldChar w:fldCharType="end"/>
            </w:r>
          </w:hyperlink>
        </w:p>
        <w:p w14:paraId="01F36D1C" w14:textId="7D91B6B6"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0" w:history="1">
            <w:r w:rsidR="000F02BA" w:rsidRPr="00FF5339">
              <w:rPr>
                <w:rStyle w:val="Hyperlink"/>
                <w:noProof/>
              </w:rPr>
              <w:t>Izmaiņas Manipulāciju sarakstā no 01.04.2020</w:t>
            </w:r>
            <w:r w:rsidR="000F02BA">
              <w:rPr>
                <w:noProof/>
                <w:webHidden/>
              </w:rPr>
              <w:tab/>
            </w:r>
            <w:r w:rsidR="000F02BA">
              <w:rPr>
                <w:noProof/>
                <w:webHidden/>
              </w:rPr>
              <w:fldChar w:fldCharType="begin"/>
            </w:r>
            <w:r w:rsidR="000F02BA">
              <w:rPr>
                <w:noProof/>
                <w:webHidden/>
              </w:rPr>
              <w:instrText xml:space="preserve"> PAGEREF _Toc76546560 \h </w:instrText>
            </w:r>
            <w:r w:rsidR="000F02BA">
              <w:rPr>
                <w:noProof/>
                <w:webHidden/>
              </w:rPr>
            </w:r>
            <w:r w:rsidR="000F02BA">
              <w:rPr>
                <w:noProof/>
                <w:webHidden/>
              </w:rPr>
              <w:fldChar w:fldCharType="separate"/>
            </w:r>
            <w:r w:rsidR="000F02BA">
              <w:rPr>
                <w:noProof/>
                <w:webHidden/>
              </w:rPr>
              <w:t>300</w:t>
            </w:r>
            <w:r w:rsidR="000F02BA">
              <w:rPr>
                <w:noProof/>
                <w:webHidden/>
              </w:rPr>
              <w:fldChar w:fldCharType="end"/>
            </w:r>
          </w:hyperlink>
        </w:p>
        <w:p w14:paraId="72AD74AE" w14:textId="43EEC4A9"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1" w:history="1">
            <w:r w:rsidR="000F02BA" w:rsidRPr="00FF5339">
              <w:rPr>
                <w:rStyle w:val="Hyperlink"/>
                <w:noProof/>
              </w:rPr>
              <w:t>Izmaiņas Manipulāciju sarakstā no 01.01.2020.</w:t>
            </w:r>
            <w:r w:rsidR="000F02BA">
              <w:rPr>
                <w:noProof/>
                <w:webHidden/>
              </w:rPr>
              <w:tab/>
            </w:r>
            <w:r w:rsidR="000F02BA">
              <w:rPr>
                <w:noProof/>
                <w:webHidden/>
              </w:rPr>
              <w:fldChar w:fldCharType="begin"/>
            </w:r>
            <w:r w:rsidR="000F02BA">
              <w:rPr>
                <w:noProof/>
                <w:webHidden/>
              </w:rPr>
              <w:instrText xml:space="preserve"> PAGEREF _Toc76546561 \h </w:instrText>
            </w:r>
            <w:r w:rsidR="000F02BA">
              <w:rPr>
                <w:noProof/>
                <w:webHidden/>
              </w:rPr>
            </w:r>
            <w:r w:rsidR="000F02BA">
              <w:rPr>
                <w:noProof/>
                <w:webHidden/>
              </w:rPr>
              <w:fldChar w:fldCharType="separate"/>
            </w:r>
            <w:r w:rsidR="000F02BA">
              <w:rPr>
                <w:noProof/>
                <w:webHidden/>
              </w:rPr>
              <w:t>312</w:t>
            </w:r>
            <w:r w:rsidR="000F02BA">
              <w:rPr>
                <w:noProof/>
                <w:webHidden/>
              </w:rPr>
              <w:fldChar w:fldCharType="end"/>
            </w:r>
          </w:hyperlink>
        </w:p>
        <w:p w14:paraId="0362292F" w14:textId="0FCF3DAA"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2" w:history="1">
            <w:r w:rsidR="000F02BA" w:rsidRPr="00FF5339">
              <w:rPr>
                <w:rStyle w:val="Hyperlink"/>
                <w:noProof/>
              </w:rPr>
              <w:t>Izmaiņas Manipulāciju sarakstā no 01.10.2019</w:t>
            </w:r>
            <w:r w:rsidR="000F02BA">
              <w:rPr>
                <w:noProof/>
                <w:webHidden/>
              </w:rPr>
              <w:tab/>
            </w:r>
            <w:r w:rsidR="000F02BA">
              <w:rPr>
                <w:noProof/>
                <w:webHidden/>
              </w:rPr>
              <w:fldChar w:fldCharType="begin"/>
            </w:r>
            <w:r w:rsidR="000F02BA">
              <w:rPr>
                <w:noProof/>
                <w:webHidden/>
              </w:rPr>
              <w:instrText xml:space="preserve"> PAGEREF _Toc76546562 \h </w:instrText>
            </w:r>
            <w:r w:rsidR="000F02BA">
              <w:rPr>
                <w:noProof/>
                <w:webHidden/>
              </w:rPr>
            </w:r>
            <w:r w:rsidR="000F02BA">
              <w:rPr>
                <w:noProof/>
                <w:webHidden/>
              </w:rPr>
              <w:fldChar w:fldCharType="separate"/>
            </w:r>
            <w:r w:rsidR="000F02BA">
              <w:rPr>
                <w:noProof/>
                <w:webHidden/>
              </w:rPr>
              <w:t>328</w:t>
            </w:r>
            <w:r w:rsidR="000F02BA">
              <w:rPr>
                <w:noProof/>
                <w:webHidden/>
              </w:rPr>
              <w:fldChar w:fldCharType="end"/>
            </w:r>
          </w:hyperlink>
        </w:p>
        <w:p w14:paraId="67D29EC1" w14:textId="27271FB8"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3" w:history="1">
            <w:r w:rsidR="000F02BA" w:rsidRPr="00FF5339">
              <w:rPr>
                <w:rStyle w:val="Hyperlink"/>
                <w:noProof/>
              </w:rPr>
              <w:t>Izmaiņas Manipulāciju sarakstā no 12.08.2019</w:t>
            </w:r>
            <w:r w:rsidR="000F02BA">
              <w:rPr>
                <w:noProof/>
                <w:webHidden/>
              </w:rPr>
              <w:tab/>
            </w:r>
            <w:r w:rsidR="000F02BA">
              <w:rPr>
                <w:noProof/>
                <w:webHidden/>
              </w:rPr>
              <w:fldChar w:fldCharType="begin"/>
            </w:r>
            <w:r w:rsidR="000F02BA">
              <w:rPr>
                <w:noProof/>
                <w:webHidden/>
              </w:rPr>
              <w:instrText xml:space="preserve"> PAGEREF _Toc76546563 \h </w:instrText>
            </w:r>
            <w:r w:rsidR="000F02BA">
              <w:rPr>
                <w:noProof/>
                <w:webHidden/>
              </w:rPr>
            </w:r>
            <w:r w:rsidR="000F02BA">
              <w:rPr>
                <w:noProof/>
                <w:webHidden/>
              </w:rPr>
              <w:fldChar w:fldCharType="separate"/>
            </w:r>
            <w:r w:rsidR="000F02BA">
              <w:rPr>
                <w:noProof/>
                <w:webHidden/>
              </w:rPr>
              <w:t>334</w:t>
            </w:r>
            <w:r w:rsidR="000F02BA">
              <w:rPr>
                <w:noProof/>
                <w:webHidden/>
              </w:rPr>
              <w:fldChar w:fldCharType="end"/>
            </w:r>
          </w:hyperlink>
        </w:p>
        <w:p w14:paraId="1621322D" w14:textId="6D97F3F8"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4" w:history="1">
            <w:r w:rsidR="000F02BA" w:rsidRPr="00FF5339">
              <w:rPr>
                <w:rStyle w:val="Hyperlink"/>
                <w:noProof/>
              </w:rPr>
              <w:t>Izmaiņas Manipulāciju sarakstā no 12.04.2019</w:t>
            </w:r>
            <w:r w:rsidR="000F02BA">
              <w:rPr>
                <w:noProof/>
                <w:webHidden/>
              </w:rPr>
              <w:tab/>
            </w:r>
            <w:r w:rsidR="000F02BA">
              <w:rPr>
                <w:noProof/>
                <w:webHidden/>
              </w:rPr>
              <w:fldChar w:fldCharType="begin"/>
            </w:r>
            <w:r w:rsidR="000F02BA">
              <w:rPr>
                <w:noProof/>
                <w:webHidden/>
              </w:rPr>
              <w:instrText xml:space="preserve"> PAGEREF _Toc76546564 \h </w:instrText>
            </w:r>
            <w:r w:rsidR="000F02BA">
              <w:rPr>
                <w:noProof/>
                <w:webHidden/>
              </w:rPr>
            </w:r>
            <w:r w:rsidR="000F02BA">
              <w:rPr>
                <w:noProof/>
                <w:webHidden/>
              </w:rPr>
              <w:fldChar w:fldCharType="separate"/>
            </w:r>
            <w:r w:rsidR="000F02BA">
              <w:rPr>
                <w:noProof/>
                <w:webHidden/>
              </w:rPr>
              <w:t>339</w:t>
            </w:r>
            <w:r w:rsidR="000F02BA">
              <w:rPr>
                <w:noProof/>
                <w:webHidden/>
              </w:rPr>
              <w:fldChar w:fldCharType="end"/>
            </w:r>
          </w:hyperlink>
        </w:p>
        <w:p w14:paraId="128E9695" w14:textId="4C557DD4"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5" w:history="1">
            <w:r w:rsidR="000F02BA" w:rsidRPr="00FF5339">
              <w:rPr>
                <w:rStyle w:val="Hyperlink"/>
                <w:noProof/>
              </w:rPr>
              <w:t>Izmaiņas Manipulāciju sarakstā no 01.04.2019</w:t>
            </w:r>
            <w:r w:rsidR="000F02BA">
              <w:rPr>
                <w:noProof/>
                <w:webHidden/>
              </w:rPr>
              <w:tab/>
            </w:r>
            <w:r w:rsidR="000F02BA">
              <w:rPr>
                <w:noProof/>
                <w:webHidden/>
              </w:rPr>
              <w:fldChar w:fldCharType="begin"/>
            </w:r>
            <w:r w:rsidR="000F02BA">
              <w:rPr>
                <w:noProof/>
                <w:webHidden/>
              </w:rPr>
              <w:instrText xml:space="preserve"> PAGEREF _Toc76546565 \h </w:instrText>
            </w:r>
            <w:r w:rsidR="000F02BA">
              <w:rPr>
                <w:noProof/>
                <w:webHidden/>
              </w:rPr>
            </w:r>
            <w:r w:rsidR="000F02BA">
              <w:rPr>
                <w:noProof/>
                <w:webHidden/>
              </w:rPr>
              <w:fldChar w:fldCharType="separate"/>
            </w:r>
            <w:r w:rsidR="000F02BA">
              <w:rPr>
                <w:noProof/>
                <w:webHidden/>
              </w:rPr>
              <w:t>340</w:t>
            </w:r>
            <w:r w:rsidR="000F02BA">
              <w:rPr>
                <w:noProof/>
                <w:webHidden/>
              </w:rPr>
              <w:fldChar w:fldCharType="end"/>
            </w:r>
          </w:hyperlink>
        </w:p>
        <w:p w14:paraId="03338862" w14:textId="1F5EAC1F"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6" w:history="1">
            <w:r w:rsidR="000F02BA" w:rsidRPr="00FF5339">
              <w:rPr>
                <w:rStyle w:val="Hyperlink"/>
                <w:noProof/>
              </w:rPr>
              <w:t>Izmaiņas Manipulāciju sarakstā no 11.02.2019</w:t>
            </w:r>
            <w:r w:rsidR="000F02BA">
              <w:rPr>
                <w:noProof/>
                <w:webHidden/>
              </w:rPr>
              <w:tab/>
            </w:r>
            <w:r w:rsidR="000F02BA">
              <w:rPr>
                <w:noProof/>
                <w:webHidden/>
              </w:rPr>
              <w:fldChar w:fldCharType="begin"/>
            </w:r>
            <w:r w:rsidR="000F02BA">
              <w:rPr>
                <w:noProof/>
                <w:webHidden/>
              </w:rPr>
              <w:instrText xml:space="preserve"> PAGEREF _Toc76546566 \h </w:instrText>
            </w:r>
            <w:r w:rsidR="000F02BA">
              <w:rPr>
                <w:noProof/>
                <w:webHidden/>
              </w:rPr>
            </w:r>
            <w:r w:rsidR="000F02BA">
              <w:rPr>
                <w:noProof/>
                <w:webHidden/>
              </w:rPr>
              <w:fldChar w:fldCharType="separate"/>
            </w:r>
            <w:r w:rsidR="000F02BA">
              <w:rPr>
                <w:noProof/>
                <w:webHidden/>
              </w:rPr>
              <w:t>351</w:t>
            </w:r>
            <w:r w:rsidR="000F02BA">
              <w:rPr>
                <w:noProof/>
                <w:webHidden/>
              </w:rPr>
              <w:fldChar w:fldCharType="end"/>
            </w:r>
          </w:hyperlink>
        </w:p>
        <w:p w14:paraId="6B03B831" w14:textId="0330093C"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7" w:history="1">
            <w:r w:rsidR="000F02BA" w:rsidRPr="00FF5339">
              <w:rPr>
                <w:rStyle w:val="Hyperlink"/>
                <w:noProof/>
              </w:rPr>
              <w:t>Izmaiņas Manipulāciju sarakstā no 01.01.2019</w:t>
            </w:r>
            <w:r w:rsidR="000F02BA">
              <w:rPr>
                <w:noProof/>
                <w:webHidden/>
              </w:rPr>
              <w:tab/>
            </w:r>
            <w:r w:rsidR="000F02BA">
              <w:rPr>
                <w:noProof/>
                <w:webHidden/>
              </w:rPr>
              <w:fldChar w:fldCharType="begin"/>
            </w:r>
            <w:r w:rsidR="000F02BA">
              <w:rPr>
                <w:noProof/>
                <w:webHidden/>
              </w:rPr>
              <w:instrText xml:space="preserve"> PAGEREF _Toc76546567 \h </w:instrText>
            </w:r>
            <w:r w:rsidR="000F02BA">
              <w:rPr>
                <w:noProof/>
                <w:webHidden/>
              </w:rPr>
            </w:r>
            <w:r w:rsidR="000F02BA">
              <w:rPr>
                <w:noProof/>
                <w:webHidden/>
              </w:rPr>
              <w:fldChar w:fldCharType="separate"/>
            </w:r>
            <w:r w:rsidR="000F02BA">
              <w:rPr>
                <w:noProof/>
                <w:webHidden/>
              </w:rPr>
              <w:t>352</w:t>
            </w:r>
            <w:r w:rsidR="000F02BA">
              <w:rPr>
                <w:noProof/>
                <w:webHidden/>
              </w:rPr>
              <w:fldChar w:fldCharType="end"/>
            </w:r>
          </w:hyperlink>
        </w:p>
        <w:p w14:paraId="08BE3089" w14:textId="5E240326"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8" w:history="1">
            <w:r w:rsidR="000F02BA" w:rsidRPr="00FF5339">
              <w:rPr>
                <w:rStyle w:val="Hyperlink"/>
                <w:noProof/>
              </w:rPr>
              <w:t>Izmaiņas Manipulāciju sarakstā no 23.10.2018</w:t>
            </w:r>
            <w:r w:rsidR="000F02BA">
              <w:rPr>
                <w:noProof/>
                <w:webHidden/>
              </w:rPr>
              <w:tab/>
            </w:r>
            <w:r w:rsidR="000F02BA">
              <w:rPr>
                <w:noProof/>
                <w:webHidden/>
              </w:rPr>
              <w:fldChar w:fldCharType="begin"/>
            </w:r>
            <w:r w:rsidR="000F02BA">
              <w:rPr>
                <w:noProof/>
                <w:webHidden/>
              </w:rPr>
              <w:instrText xml:space="preserve"> PAGEREF _Toc76546568 \h </w:instrText>
            </w:r>
            <w:r w:rsidR="000F02BA">
              <w:rPr>
                <w:noProof/>
                <w:webHidden/>
              </w:rPr>
            </w:r>
            <w:r w:rsidR="000F02BA">
              <w:rPr>
                <w:noProof/>
                <w:webHidden/>
              </w:rPr>
              <w:fldChar w:fldCharType="separate"/>
            </w:r>
            <w:r w:rsidR="000F02BA">
              <w:rPr>
                <w:noProof/>
                <w:webHidden/>
              </w:rPr>
              <w:t>358</w:t>
            </w:r>
            <w:r w:rsidR="000F02BA">
              <w:rPr>
                <w:noProof/>
                <w:webHidden/>
              </w:rPr>
              <w:fldChar w:fldCharType="end"/>
            </w:r>
          </w:hyperlink>
        </w:p>
        <w:p w14:paraId="03589E36" w14:textId="6C011976" w:rsidR="000F02BA" w:rsidRDefault="002B5B44">
          <w:pPr>
            <w:pStyle w:val="TOC1"/>
            <w:tabs>
              <w:tab w:val="right" w:leader="dot" w:pos="8860"/>
            </w:tabs>
            <w:rPr>
              <w:rFonts w:asciiTheme="minorHAnsi" w:eastAsiaTheme="minorEastAsia" w:hAnsiTheme="minorHAnsi" w:cstheme="minorBidi"/>
              <w:noProof/>
              <w:sz w:val="22"/>
              <w:szCs w:val="22"/>
              <w:lang w:eastAsia="lv-LV"/>
            </w:rPr>
          </w:pPr>
          <w:hyperlink w:anchor="_Toc76546569" w:history="1">
            <w:r w:rsidR="000F02BA" w:rsidRPr="00FF5339">
              <w:rPr>
                <w:rStyle w:val="Hyperlink"/>
                <w:noProof/>
              </w:rPr>
              <w:t>Izmaiņas Manipulāciju sarakstā no 01.09.2018</w:t>
            </w:r>
            <w:r w:rsidR="000F02BA">
              <w:rPr>
                <w:noProof/>
                <w:webHidden/>
              </w:rPr>
              <w:tab/>
            </w:r>
            <w:r w:rsidR="000F02BA">
              <w:rPr>
                <w:noProof/>
                <w:webHidden/>
              </w:rPr>
              <w:fldChar w:fldCharType="begin"/>
            </w:r>
            <w:r w:rsidR="000F02BA">
              <w:rPr>
                <w:noProof/>
                <w:webHidden/>
              </w:rPr>
              <w:instrText xml:space="preserve"> PAGEREF _Toc76546569 \h </w:instrText>
            </w:r>
            <w:r w:rsidR="000F02BA">
              <w:rPr>
                <w:noProof/>
                <w:webHidden/>
              </w:rPr>
            </w:r>
            <w:r w:rsidR="000F02BA">
              <w:rPr>
                <w:noProof/>
                <w:webHidden/>
              </w:rPr>
              <w:fldChar w:fldCharType="separate"/>
            </w:r>
            <w:r w:rsidR="000F02BA">
              <w:rPr>
                <w:noProof/>
                <w:webHidden/>
              </w:rPr>
              <w:t>362</w:t>
            </w:r>
            <w:r w:rsidR="000F02BA">
              <w:rPr>
                <w:noProof/>
                <w:webHidden/>
              </w:rPr>
              <w:fldChar w:fldCharType="end"/>
            </w:r>
          </w:hyperlink>
        </w:p>
        <w:p w14:paraId="34223FA2" w14:textId="79BA380F"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3C665289" w14:textId="22C27ED8" w:rsidR="00997838" w:rsidRDefault="00997838" w:rsidP="00B00D7E">
      <w:pPr>
        <w:pStyle w:val="Heading1"/>
      </w:pPr>
      <w:bookmarkStart w:id="0" w:name="_Toc76546551"/>
      <w:bookmarkStart w:id="1" w:name="_Hlk67575057"/>
      <w:r>
        <w:lastRenderedPageBreak/>
        <w:t>Izmaiņas Manipulāciju sarakstā ar 01.07.2021.</w:t>
      </w:r>
      <w:bookmarkEnd w:id="0"/>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 nepieciešama Post </w:t>
            </w:r>
            <w:proofErr w:type="spellStart"/>
            <w:r w:rsidRPr="00F062E0">
              <w:rPr>
                <w:color w:val="000000"/>
                <w:sz w:val="20"/>
                <w:szCs w:val="20"/>
                <w:lang w:eastAsia="lv-LV"/>
              </w:rPr>
              <w:t>Covid</w:t>
            </w:r>
            <w:proofErr w:type="spellEnd"/>
            <w:r w:rsidRPr="00F062E0">
              <w:rPr>
                <w:color w:val="000000"/>
                <w:sz w:val="20"/>
                <w:szCs w:val="20"/>
                <w:lang w:eastAsia="lv-LV"/>
              </w:rPr>
              <w:t xml:space="preserve">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2"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2"/>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2215E105" w:rsidR="00B00D7E" w:rsidRPr="00B00D7E" w:rsidRDefault="00B00D7E" w:rsidP="00B00D7E">
      <w:pPr>
        <w:pStyle w:val="Heading1"/>
      </w:pPr>
      <w:bookmarkStart w:id="3" w:name="_Toc76546552"/>
      <w:r w:rsidRPr="00B00D7E">
        <w:lastRenderedPageBreak/>
        <w:t>Izmaiņas Manipulāciju sarakstā ar 01.0</w:t>
      </w:r>
      <w:r>
        <w:t>6</w:t>
      </w:r>
      <w:r w:rsidRPr="00B00D7E">
        <w:t>.2021.</w:t>
      </w:r>
      <w:bookmarkEnd w:id="3"/>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4" w:name="_Toc76546553"/>
      <w:r>
        <w:t xml:space="preserve">Izmaiņas </w:t>
      </w:r>
      <w:r w:rsidRPr="0047385B">
        <w:t>Manipulāciju sarakst</w:t>
      </w:r>
      <w:r>
        <w:t>ā</w:t>
      </w:r>
      <w:r w:rsidRPr="0047385B">
        <w:t xml:space="preserve"> ar </w:t>
      </w:r>
      <w:r>
        <w:t>01.05</w:t>
      </w:r>
      <w:r w:rsidRPr="0047385B">
        <w:t>.2021.</w:t>
      </w:r>
      <w:bookmarkEnd w:id="4"/>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5"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5"/>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6" w:name="_Toc76546554"/>
      <w:r>
        <w:lastRenderedPageBreak/>
        <w:t>Izmaiņas M</w:t>
      </w:r>
      <w:r w:rsidRPr="0047385B">
        <w:t>anipulāciju sarak</w:t>
      </w:r>
      <w:r>
        <w:t xml:space="preserve">stā </w:t>
      </w:r>
      <w:r w:rsidRPr="0047385B">
        <w:t>ar 22.02.2021.</w:t>
      </w:r>
      <w:bookmarkEnd w:id="6"/>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7"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7"/>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8" w:name="_Toc76546555"/>
      <w:r w:rsidRPr="00C64471">
        <w:t>Izmaiņas Manipulāciju sarakstā no 19.04.2021</w:t>
      </w:r>
      <w:r>
        <w:t>.</w:t>
      </w:r>
      <w:bookmarkEnd w:id="8"/>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9" w:name="_Toc76546556"/>
      <w:bookmarkStart w:id="10"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9"/>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1"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1"/>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0"/>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3" w:name="_Toc76546557"/>
      <w:r>
        <w:t>Izmaiņas Manipulāciju sarakstā no</w:t>
      </w:r>
      <w:r w:rsidRPr="00313352">
        <w:t xml:space="preserve"> 01.01.2021.</w:t>
      </w:r>
      <w:bookmarkEnd w:id="1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4" w:name="_Toc76546558"/>
      <w:r w:rsidRPr="00525897">
        <w:lastRenderedPageBreak/>
        <w:t>Izmaiņas Manipulāciju sarakstā no 01.10.2020</w:t>
      </w:r>
      <w:bookmarkEnd w:id="1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5" w:name="_Toc76546559"/>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6" w:name="_Toc76546560"/>
      <w:r w:rsidRPr="00084AE1">
        <w:lastRenderedPageBreak/>
        <w:t>Izmaiņas Manipulāciju sarakstā no 01.04.2020</w:t>
      </w:r>
      <w:bookmarkEnd w:id="1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7" w:name="_Toc76546561"/>
      <w:r>
        <w:lastRenderedPageBreak/>
        <w:t>Izmaiņas Manipulāciju sarakstā no 01.01.2020.</w:t>
      </w:r>
      <w:bookmarkEnd w:id="1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8" w:name="_Toc76546562"/>
      <w:r>
        <w:lastRenderedPageBreak/>
        <w:t>Izmaiņas Manipulāciju sarakstā no 01.10.2019</w:t>
      </w:r>
      <w:bookmarkEnd w:id="1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9" w:name="_Toc76546563"/>
      <w:r>
        <w:lastRenderedPageBreak/>
        <w:t>Izmaiņas Manipulāciju sarakstā no 12.08.2019</w:t>
      </w:r>
      <w:bookmarkEnd w:id="1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20" w:name="_Toc76546564"/>
      <w:r>
        <w:lastRenderedPageBreak/>
        <w:t>Izmaiņas Manipulāciju sarakstā no 12.04.2019</w:t>
      </w:r>
      <w:bookmarkEnd w:id="2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21" w:name="_Toc76546565"/>
      <w:r>
        <w:lastRenderedPageBreak/>
        <w:t>Izmaiņas Manipulāciju sarakstā no 01.04.2019</w:t>
      </w:r>
      <w:bookmarkEnd w:id="2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2" w:name="_Toc76546566"/>
      <w:r>
        <w:lastRenderedPageBreak/>
        <w:t>Izmaiņas Manipulāciju sarakstā no 11.02.2019</w:t>
      </w:r>
      <w:bookmarkEnd w:id="2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3" w:name="_Toc76546567"/>
      <w:r>
        <w:lastRenderedPageBreak/>
        <w:t>Izmaiņas Manipulāciju sarakstā no 01.01.2019</w:t>
      </w:r>
      <w:bookmarkEnd w:id="2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4" w:name="_Toc76546568"/>
      <w:r>
        <w:lastRenderedPageBreak/>
        <w:t>Izmaiņas Manipulāciju sarakstā no 23.10.2018</w:t>
      </w:r>
      <w:bookmarkEnd w:id="2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5" w:name="_Toc76546569"/>
      <w:r>
        <w:lastRenderedPageBreak/>
        <w:t>Izmaiņas Manipulāciju sarakstā no 01.09.2018</w:t>
      </w:r>
      <w:bookmarkEnd w:id="2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1"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3"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4"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2"/>
  </w:num>
  <w:num w:numId="5">
    <w:abstractNumId w:val="23"/>
  </w:num>
  <w:num w:numId="6">
    <w:abstractNumId w:val="20"/>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6"/>
  </w:num>
  <w:num w:numId="16">
    <w:abstractNumId w:val="14"/>
  </w:num>
  <w:num w:numId="17">
    <w:abstractNumId w:val="4"/>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02BA"/>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B5B44"/>
    <w:rsid w:val="002C2E24"/>
    <w:rsid w:val="002C3C64"/>
    <w:rsid w:val="002C7695"/>
    <w:rsid w:val="002D02F9"/>
    <w:rsid w:val="002D2DCD"/>
    <w:rsid w:val="002E198C"/>
    <w:rsid w:val="002F2BED"/>
    <w:rsid w:val="002F2D69"/>
    <w:rsid w:val="002F3738"/>
    <w:rsid w:val="002F7FC2"/>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97838"/>
    <w:rsid w:val="009A1D8C"/>
    <w:rsid w:val="009A615A"/>
    <w:rsid w:val="009A7E8F"/>
    <w:rsid w:val="009C1A10"/>
    <w:rsid w:val="009C1DF0"/>
    <w:rsid w:val="009C5D16"/>
    <w:rsid w:val="009C75CB"/>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24DF"/>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365</Pages>
  <Words>401419</Words>
  <Characters>228809</Characters>
  <Application>Microsoft Office Word</Application>
  <DocSecurity>0</DocSecurity>
  <Lines>1906</Lines>
  <Paragraphs>1257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8</cp:revision>
  <cp:lastPrinted>2021-05-21T07:30:00Z</cp:lastPrinted>
  <dcterms:created xsi:type="dcterms:W3CDTF">2021-07-02T12:05:00Z</dcterms:created>
  <dcterms:modified xsi:type="dcterms:W3CDTF">2021-07-09T07:28:00Z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